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82D3E" w14:textId="291E7D6A" w:rsidR="002A57ED" w:rsidRDefault="002A57ED" w:rsidP="007913F0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>
        <w:fldChar w:fldCharType="begin"/>
      </w:r>
      <w:r>
        <w:instrText>HYPERLINK "https://financialbasics.org.au/wp-content/uploads/2024/07/super-decisions.pdf"</w:instrText>
      </w:r>
      <w:r>
        <w:fldChar w:fldCharType="separate"/>
      </w:r>
      <w:r w:rsidRPr="000F4F2F">
        <w:rPr>
          <w:rStyle w:val="Hyperlink"/>
          <w:rFonts w:cstheme="minorHAnsi"/>
        </w:rPr>
        <w:t>Download</w:t>
      </w:r>
      <w:r>
        <w:rPr>
          <w:rStyle w:val="Hyperlink"/>
          <w:rFonts w:cstheme="minorHAnsi"/>
        </w:rPr>
        <w:fldChar w:fldCharType="end"/>
      </w:r>
      <w:r w:rsidRPr="000F4F2F">
        <w:rPr>
          <w:rFonts w:cstheme="minorHAnsi"/>
        </w:rPr>
        <w:t xml:space="preserve"> a copy of </w:t>
      </w:r>
      <w:r>
        <w:rPr>
          <w:rFonts w:cstheme="minorHAnsi"/>
        </w:rPr>
        <w:t xml:space="preserve">the </w:t>
      </w:r>
      <w:hyperlink r:id="rId11" w:history="1">
        <w:r w:rsidRPr="000F4F2F">
          <w:rPr>
            <w:rStyle w:val="Hyperlink"/>
            <w:rFonts w:cstheme="minorHAnsi"/>
          </w:rPr>
          <w:t>Super Decisions</w:t>
        </w:r>
      </w:hyperlink>
      <w:r w:rsidRPr="000F4F2F">
        <w:rPr>
          <w:rFonts w:cstheme="minorHAnsi"/>
        </w:rPr>
        <w:t xml:space="preserve"> booklet.</w:t>
      </w:r>
    </w:p>
    <w:p w14:paraId="35C4F529" w14:textId="67DA5CB1" w:rsidR="00FC1783" w:rsidRDefault="002A57ED" w:rsidP="007913F0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Use the booklet and the Internet (</w:t>
      </w:r>
      <w:r w:rsidRPr="006E4D44">
        <w:rPr>
          <w:noProof/>
        </w:rPr>
        <w:drawing>
          <wp:inline distT="0" distB="0" distL="0" distR="0" wp14:anchorId="1E4E2C79" wp14:editId="10593BBE">
            <wp:extent cx="156845" cy="132715"/>
            <wp:effectExtent l="0" t="0" r="0" b="63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) to </w:t>
      </w:r>
      <w:r w:rsidR="00090297">
        <w:rPr>
          <w:rFonts w:cstheme="minorHAnsi"/>
        </w:rPr>
        <w:t xml:space="preserve">answer the following questions. </w:t>
      </w:r>
      <w:r w:rsidRPr="000F4F2F">
        <w:rPr>
          <w:rFonts w:cstheme="minorHAnsi"/>
        </w:rPr>
        <w:t xml:space="preserve"> </w:t>
      </w:r>
    </w:p>
    <w:p w14:paraId="789FBD5A" w14:textId="563F03B4" w:rsidR="00E767DC" w:rsidRPr="00643B6D" w:rsidRDefault="00643B6D" w:rsidP="00E767DC">
      <w:pPr>
        <w:spacing w:line="360" w:lineRule="auto"/>
        <w:rPr>
          <w:rFonts w:cstheme="minorHAnsi"/>
          <w:b/>
          <w:bCs/>
          <w:i/>
          <w:iCs/>
        </w:rPr>
      </w:pPr>
      <w:r w:rsidRPr="00643B6D">
        <w:rPr>
          <w:rFonts w:cstheme="minorHAnsi"/>
          <w:b/>
          <w:bCs/>
          <w:i/>
          <w:iCs/>
        </w:rPr>
        <w:t>SUPER BASICS</w:t>
      </w:r>
      <w:r>
        <w:rPr>
          <w:rFonts w:cstheme="minorHAnsi"/>
          <w:b/>
          <w:bCs/>
          <w:i/>
          <w:iCs/>
        </w:rPr>
        <w:t>:</w:t>
      </w:r>
      <w:r>
        <w:rPr>
          <w:rFonts w:cstheme="minorHAnsi"/>
          <w:b/>
          <w:bCs/>
          <w:i/>
          <w:iCs/>
        </w:rPr>
        <w:tab/>
      </w:r>
    </w:p>
    <w:tbl>
      <w:tblPr>
        <w:tblStyle w:val="TableGrid"/>
        <w:tblW w:w="9072" w:type="dxa"/>
        <w:tblInd w:w="112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3169"/>
        <w:gridCol w:w="5903"/>
      </w:tblGrid>
      <w:tr w:rsidR="00FC1783" w:rsidRPr="00AE480A" w14:paraId="7485CFBA" w14:textId="77777777" w:rsidTr="003929D3">
        <w:tc>
          <w:tcPr>
            <w:tcW w:w="3169" w:type="dxa"/>
            <w:shd w:val="clear" w:color="auto" w:fill="478CCA"/>
            <w:vAlign w:val="center"/>
          </w:tcPr>
          <w:p w14:paraId="5FFDF757" w14:textId="36362BEF" w:rsidR="00FC1783" w:rsidRPr="00AE480A" w:rsidRDefault="005F2AF4" w:rsidP="003929D3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40795210"/>
            <w:r>
              <w:rPr>
                <w:rFonts w:ascii="Arial" w:eastAsia="Calibri" w:hAnsi="Arial" w:cs="Arial"/>
                <w:b/>
                <w:bCs/>
              </w:rPr>
              <w:t>Research q</w:t>
            </w:r>
            <w:r w:rsidR="00FC1783">
              <w:rPr>
                <w:rFonts w:ascii="Arial" w:eastAsia="Calibri" w:hAnsi="Arial" w:cs="Arial"/>
                <w:b/>
                <w:bCs/>
              </w:rPr>
              <w:t>uestion</w:t>
            </w:r>
          </w:p>
        </w:tc>
        <w:tc>
          <w:tcPr>
            <w:tcW w:w="5903" w:type="dxa"/>
            <w:shd w:val="clear" w:color="auto" w:fill="478CCA"/>
            <w:vAlign w:val="center"/>
          </w:tcPr>
          <w:p w14:paraId="2D06AF74" w14:textId="77777777" w:rsidR="00FC1783" w:rsidRPr="00AE480A" w:rsidRDefault="00FC1783" w:rsidP="003929D3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Answer</w:t>
            </w:r>
          </w:p>
        </w:tc>
      </w:tr>
      <w:tr w:rsidR="00FC1783" w:rsidRPr="00AE480A" w14:paraId="3ED58471" w14:textId="77777777" w:rsidTr="003929D3">
        <w:trPr>
          <w:trHeight w:val="1701"/>
        </w:trPr>
        <w:tc>
          <w:tcPr>
            <w:tcW w:w="3169" w:type="dxa"/>
            <w:shd w:val="clear" w:color="auto" w:fill="FFFFFF" w:themeFill="background1"/>
            <w:vAlign w:val="center"/>
          </w:tcPr>
          <w:p w14:paraId="4C7F0390" w14:textId="77777777" w:rsidR="00FC1783" w:rsidRDefault="00FC1783" w:rsidP="003929D3">
            <w:pPr>
              <w:widowControl w:val="0"/>
              <w:autoSpaceDE w:val="0"/>
              <w:autoSpaceDN w:val="0"/>
              <w:contextualSpacing/>
              <w:rPr>
                <w:rFonts w:cstheme="minorHAnsi"/>
                <w:lang w:eastAsia="zh-CN"/>
              </w:rPr>
            </w:pPr>
            <w:r>
              <w:rPr>
                <w:rFonts w:cstheme="minorHAnsi"/>
                <w:lang w:eastAsia="zh-CN"/>
              </w:rPr>
              <w:t xml:space="preserve">Provide a definition of superannuation. </w:t>
            </w:r>
          </w:p>
          <w:p w14:paraId="3FB881DB" w14:textId="77777777" w:rsidR="00FC1783" w:rsidRPr="00C33711" w:rsidRDefault="00FC1783" w:rsidP="003929D3">
            <w:pPr>
              <w:widowControl w:val="0"/>
              <w:autoSpaceDE w:val="0"/>
              <w:autoSpaceDN w:val="0"/>
              <w:contextualSpacing/>
              <w:rPr>
                <w:rFonts w:cstheme="minorHAnsi"/>
                <w:strike/>
                <w:lang w:eastAsia="zh-CN"/>
              </w:rPr>
            </w:pPr>
          </w:p>
        </w:tc>
        <w:tc>
          <w:tcPr>
            <w:tcW w:w="5903" w:type="dxa"/>
            <w:shd w:val="clear" w:color="auto" w:fill="FFFFFF" w:themeFill="background1"/>
            <w:vAlign w:val="center"/>
          </w:tcPr>
          <w:p w14:paraId="3F01B04E" w14:textId="77777777" w:rsidR="00FC1783" w:rsidRPr="00AE480A" w:rsidRDefault="00FC1783" w:rsidP="003929D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FC1783" w:rsidRPr="00AE480A" w14:paraId="6AB9B241" w14:textId="77777777" w:rsidTr="003929D3">
        <w:trPr>
          <w:trHeight w:val="1701"/>
        </w:trPr>
        <w:tc>
          <w:tcPr>
            <w:tcW w:w="3169" w:type="dxa"/>
            <w:shd w:val="clear" w:color="auto" w:fill="FFFFFF" w:themeFill="background1"/>
            <w:vAlign w:val="center"/>
          </w:tcPr>
          <w:p w14:paraId="2046B04E" w14:textId="77777777" w:rsidR="00FC1783" w:rsidRDefault="00FC1783" w:rsidP="003929D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C60B86">
              <w:rPr>
                <w:rFonts w:cstheme="minorHAnsi"/>
                <w:lang w:eastAsia="zh-CN"/>
              </w:rPr>
              <w:t>What is the current superannuation guarantee?</w:t>
            </w:r>
          </w:p>
        </w:tc>
        <w:tc>
          <w:tcPr>
            <w:tcW w:w="5903" w:type="dxa"/>
            <w:shd w:val="clear" w:color="auto" w:fill="FFFFFF" w:themeFill="background1"/>
            <w:vAlign w:val="center"/>
          </w:tcPr>
          <w:p w14:paraId="52E65E3A" w14:textId="6328F28D" w:rsidR="00FC1783" w:rsidRPr="00AE480A" w:rsidRDefault="00FC1783" w:rsidP="003929D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84668D" w:rsidRPr="00AE480A" w14:paraId="14C54C75" w14:textId="77777777" w:rsidTr="0084668D">
        <w:trPr>
          <w:trHeight w:val="565"/>
        </w:trPr>
        <w:tc>
          <w:tcPr>
            <w:tcW w:w="3169" w:type="dxa"/>
            <w:vMerge w:val="restart"/>
            <w:shd w:val="clear" w:color="auto" w:fill="FFFFFF" w:themeFill="background1"/>
            <w:vAlign w:val="center"/>
          </w:tcPr>
          <w:p w14:paraId="70F869FC" w14:textId="7025DE88" w:rsidR="0084668D" w:rsidRPr="008837FE" w:rsidRDefault="0084668D" w:rsidP="003929D3">
            <w:pPr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>List three (3) super decisions you can make to ‘grow your super savings’.</w:t>
            </w:r>
          </w:p>
        </w:tc>
        <w:tc>
          <w:tcPr>
            <w:tcW w:w="5903" w:type="dxa"/>
            <w:shd w:val="clear" w:color="auto" w:fill="FFFFFF" w:themeFill="background1"/>
            <w:vAlign w:val="center"/>
          </w:tcPr>
          <w:p w14:paraId="23231ABB" w14:textId="214C95AF" w:rsidR="0084668D" w:rsidRPr="007219DD" w:rsidRDefault="0084668D" w:rsidP="007219D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84668D" w:rsidRPr="00AE480A" w14:paraId="2D64830C" w14:textId="77777777" w:rsidTr="003929D3">
        <w:trPr>
          <w:trHeight w:val="565"/>
        </w:trPr>
        <w:tc>
          <w:tcPr>
            <w:tcW w:w="3169" w:type="dxa"/>
            <w:vMerge/>
            <w:shd w:val="clear" w:color="auto" w:fill="FFFFFF" w:themeFill="background1"/>
            <w:vAlign w:val="center"/>
          </w:tcPr>
          <w:p w14:paraId="19489E2D" w14:textId="77777777" w:rsidR="0084668D" w:rsidRDefault="0084668D" w:rsidP="003929D3">
            <w:pPr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5903" w:type="dxa"/>
            <w:shd w:val="clear" w:color="auto" w:fill="FFFFFF" w:themeFill="background1"/>
            <w:vAlign w:val="center"/>
          </w:tcPr>
          <w:p w14:paraId="11E8DC9F" w14:textId="77777777" w:rsidR="0084668D" w:rsidRPr="007219DD" w:rsidRDefault="0084668D" w:rsidP="007219D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84668D" w:rsidRPr="00AE480A" w14:paraId="42583E93" w14:textId="77777777" w:rsidTr="003929D3">
        <w:trPr>
          <w:trHeight w:val="565"/>
        </w:trPr>
        <w:tc>
          <w:tcPr>
            <w:tcW w:w="3169" w:type="dxa"/>
            <w:vMerge/>
            <w:shd w:val="clear" w:color="auto" w:fill="FFFFFF" w:themeFill="background1"/>
            <w:vAlign w:val="center"/>
          </w:tcPr>
          <w:p w14:paraId="0404418C" w14:textId="77777777" w:rsidR="0084668D" w:rsidRDefault="0084668D" w:rsidP="003929D3">
            <w:pPr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5903" w:type="dxa"/>
            <w:shd w:val="clear" w:color="auto" w:fill="FFFFFF" w:themeFill="background1"/>
            <w:vAlign w:val="center"/>
          </w:tcPr>
          <w:p w14:paraId="325357B3" w14:textId="77777777" w:rsidR="0084668D" w:rsidRPr="007219DD" w:rsidRDefault="0084668D" w:rsidP="007219D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C51187" w:rsidRPr="00AE480A" w14:paraId="4E7CBFE3" w14:textId="77777777" w:rsidTr="003929D3">
        <w:trPr>
          <w:trHeight w:val="1701"/>
        </w:trPr>
        <w:tc>
          <w:tcPr>
            <w:tcW w:w="3169" w:type="dxa"/>
            <w:shd w:val="clear" w:color="auto" w:fill="FFFFFF" w:themeFill="background1"/>
            <w:vAlign w:val="center"/>
          </w:tcPr>
          <w:p w14:paraId="1D53911A" w14:textId="5B12DBC4" w:rsidR="00C51187" w:rsidRPr="008837FE" w:rsidRDefault="00C51187" w:rsidP="00C51187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 xml:space="preserve">Summarise the main features of an accumulation superannuation fund. </w:t>
            </w:r>
          </w:p>
        </w:tc>
        <w:tc>
          <w:tcPr>
            <w:tcW w:w="5903" w:type="dxa"/>
            <w:shd w:val="clear" w:color="auto" w:fill="FFFFFF" w:themeFill="background1"/>
            <w:vAlign w:val="center"/>
          </w:tcPr>
          <w:p w14:paraId="29F24639" w14:textId="12172EB9" w:rsidR="00C51187" w:rsidRPr="00C51187" w:rsidRDefault="00C51187" w:rsidP="00C51187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C51187" w:rsidRPr="00AE480A" w14:paraId="203F7EDC" w14:textId="77777777" w:rsidTr="003929D3">
        <w:trPr>
          <w:trHeight w:val="1701"/>
        </w:trPr>
        <w:tc>
          <w:tcPr>
            <w:tcW w:w="3169" w:type="dxa"/>
            <w:shd w:val="clear" w:color="auto" w:fill="FFFFFF" w:themeFill="background1"/>
            <w:vAlign w:val="center"/>
          </w:tcPr>
          <w:p w14:paraId="028EB2CF" w14:textId="499499B9" w:rsidR="00C51187" w:rsidRDefault="00C51187" w:rsidP="00C51187">
            <w:pPr>
              <w:widowControl w:val="0"/>
              <w:autoSpaceDE w:val="0"/>
              <w:autoSpaceDN w:val="0"/>
              <w:contextualSpacing/>
              <w:rPr>
                <w:rFonts w:cstheme="minorHAnsi"/>
                <w:lang w:eastAsia="zh-CN"/>
              </w:rPr>
            </w:pPr>
            <w:r w:rsidRPr="0003159E">
              <w:rPr>
                <w:rFonts w:ascii="Calibri" w:eastAsia="Calibri" w:hAnsi="Calibri" w:cs="Calibri"/>
                <w:lang w:val="en-US" w:bidi="en-US"/>
              </w:rPr>
              <w:t xml:space="preserve">What factors should you </w:t>
            </w:r>
            <w:proofErr w:type="gramStart"/>
            <w:r w:rsidRPr="0003159E">
              <w:rPr>
                <w:rFonts w:ascii="Calibri" w:eastAsia="Calibri" w:hAnsi="Calibri" w:cs="Calibri"/>
                <w:lang w:val="en-US" w:bidi="en-US"/>
              </w:rPr>
              <w:t>take into account</w:t>
            </w:r>
            <w:proofErr w:type="gramEnd"/>
            <w:r w:rsidRPr="0003159E">
              <w:rPr>
                <w:rFonts w:ascii="Calibri" w:eastAsia="Calibri" w:hAnsi="Calibri" w:cs="Calibri"/>
                <w:lang w:val="en-US" w:bidi="en-US"/>
              </w:rPr>
              <w:t xml:space="preserve"> when deciding on which superannuation fund is best for you?</w:t>
            </w:r>
          </w:p>
        </w:tc>
        <w:tc>
          <w:tcPr>
            <w:tcW w:w="5903" w:type="dxa"/>
            <w:shd w:val="clear" w:color="auto" w:fill="FFFFFF" w:themeFill="background1"/>
            <w:vAlign w:val="center"/>
          </w:tcPr>
          <w:p w14:paraId="376E5F01" w14:textId="1E682203" w:rsidR="00C51187" w:rsidRPr="00AE480A" w:rsidRDefault="00C51187" w:rsidP="00C51187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bookmarkEnd w:id="0"/>
    </w:tbl>
    <w:p w14:paraId="22DA56BC" w14:textId="77777777" w:rsidR="00FC1783" w:rsidRDefault="00FC1783" w:rsidP="00FC1783">
      <w:pPr>
        <w:rPr>
          <w:rFonts w:cstheme="minorHAnsi"/>
          <w:lang w:val="en-US" w:eastAsia="zh-CN"/>
        </w:rPr>
      </w:pPr>
    </w:p>
    <w:p w14:paraId="2D3E3A06" w14:textId="77777777" w:rsidR="00FC1783" w:rsidRDefault="00FC1783" w:rsidP="00FC1783">
      <w:pPr>
        <w:rPr>
          <w:rFonts w:cstheme="minorHAnsi"/>
          <w:lang w:val="en-US" w:eastAsia="zh-CN"/>
        </w:rPr>
      </w:pPr>
      <w:r>
        <w:rPr>
          <w:rFonts w:cstheme="minorHAnsi"/>
          <w:lang w:val="en-US" w:eastAsia="zh-CN"/>
        </w:rPr>
        <w:br w:type="page"/>
      </w:r>
    </w:p>
    <w:p w14:paraId="4744B5D8" w14:textId="4E3C22C2" w:rsidR="00FC1783" w:rsidRPr="00441DE1" w:rsidRDefault="00441DE1" w:rsidP="006E3EA2">
      <w:pPr>
        <w:rPr>
          <w:rFonts w:cstheme="minorHAnsi"/>
          <w:b/>
          <w:bCs/>
          <w:i/>
          <w:iCs/>
          <w:lang w:eastAsia="zh-CN"/>
        </w:rPr>
      </w:pPr>
      <w:r w:rsidRPr="00441DE1">
        <w:rPr>
          <w:rFonts w:cstheme="minorHAnsi"/>
          <w:b/>
          <w:bCs/>
          <w:i/>
          <w:iCs/>
          <w:lang w:eastAsia="zh-CN"/>
        </w:rPr>
        <w:lastRenderedPageBreak/>
        <w:t>MANAGING SUPER</w:t>
      </w:r>
      <w:r>
        <w:rPr>
          <w:rFonts w:cstheme="minorHAnsi"/>
          <w:b/>
          <w:bCs/>
          <w:i/>
          <w:iCs/>
          <w:lang w:eastAsia="zh-CN"/>
        </w:rPr>
        <w:t>:</w:t>
      </w:r>
    </w:p>
    <w:tbl>
      <w:tblPr>
        <w:tblStyle w:val="TableGrid"/>
        <w:tblW w:w="9071" w:type="dxa"/>
        <w:tblInd w:w="112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441DE1" w:rsidRPr="00AE480A" w14:paraId="3E58F94E" w14:textId="77777777" w:rsidTr="003929D3">
        <w:trPr>
          <w:trHeight w:val="454"/>
        </w:trPr>
        <w:tc>
          <w:tcPr>
            <w:tcW w:w="2835" w:type="dxa"/>
            <w:shd w:val="clear" w:color="auto" w:fill="478CCA"/>
            <w:vAlign w:val="center"/>
          </w:tcPr>
          <w:p w14:paraId="031D3980" w14:textId="77777777" w:rsidR="00441DE1" w:rsidRPr="00AE480A" w:rsidRDefault="00441DE1" w:rsidP="003929D3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Research question</w:t>
            </w:r>
          </w:p>
        </w:tc>
        <w:tc>
          <w:tcPr>
            <w:tcW w:w="6236" w:type="dxa"/>
            <w:shd w:val="clear" w:color="auto" w:fill="478CCA"/>
            <w:vAlign w:val="center"/>
          </w:tcPr>
          <w:p w14:paraId="13339E9F" w14:textId="77777777" w:rsidR="00441DE1" w:rsidRPr="00AE480A" w:rsidRDefault="00441DE1" w:rsidP="003929D3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Answer</w:t>
            </w:r>
          </w:p>
        </w:tc>
      </w:tr>
      <w:tr w:rsidR="005F7D1F" w:rsidRPr="00AE480A" w14:paraId="3DF7F2F2" w14:textId="77777777" w:rsidTr="00244183">
        <w:trPr>
          <w:trHeight w:val="1134"/>
        </w:trPr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7660F103" w14:textId="6BE6E416" w:rsidR="005F7D1F" w:rsidRPr="00311260" w:rsidRDefault="005F7D1F" w:rsidP="003929D3">
            <w:pPr>
              <w:rPr>
                <w:rFonts w:cstheme="minorHAnsi"/>
              </w:rPr>
            </w:pPr>
            <w:r>
              <w:t xml:space="preserve">List four common investment options </w:t>
            </w:r>
            <w:r w:rsidR="00782AE9">
              <w:t xml:space="preserve">used by super funds </w:t>
            </w:r>
            <w:r>
              <w:t xml:space="preserve">and their mix of investments.  </w:t>
            </w: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76A0D7D9" w14:textId="77777777" w:rsidR="00CF19C9" w:rsidRDefault="00CF19C9" w:rsidP="00C8436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000AEB77" w14:textId="383C2694" w:rsidR="00CF19C9" w:rsidRPr="00AE480A" w:rsidRDefault="00CF19C9" w:rsidP="003929D3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5F7D1F" w:rsidRPr="00AE480A" w14:paraId="6A71BD76" w14:textId="77777777" w:rsidTr="00244183">
        <w:trPr>
          <w:trHeight w:val="1134"/>
        </w:trPr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6C26F7CD" w14:textId="77777777" w:rsidR="005F7D1F" w:rsidRPr="00E9625C" w:rsidRDefault="005F7D1F" w:rsidP="003929D3">
            <w:pPr>
              <w:rPr>
                <w:rFonts w:cstheme="minorHAnsi"/>
              </w:rPr>
            </w:pP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7F4D4C4F" w14:textId="77777777" w:rsidR="00CF19C9" w:rsidRDefault="00CF19C9" w:rsidP="00C8436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2DFD534F" w14:textId="03E4E5B7" w:rsidR="00CF19C9" w:rsidRPr="00AE480A" w:rsidRDefault="00CF19C9" w:rsidP="003929D3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5F7D1F" w:rsidRPr="00AE480A" w14:paraId="7DCB3ABB" w14:textId="77777777" w:rsidTr="00244183">
        <w:trPr>
          <w:trHeight w:val="1134"/>
        </w:trPr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287E47D0" w14:textId="77777777" w:rsidR="005F7D1F" w:rsidRPr="00E9625C" w:rsidRDefault="005F7D1F" w:rsidP="003929D3">
            <w:pPr>
              <w:rPr>
                <w:rFonts w:cstheme="minorHAnsi"/>
              </w:rPr>
            </w:pP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2031D0D8" w14:textId="77777777" w:rsidR="00CF19C9" w:rsidRDefault="00CF19C9" w:rsidP="00C8436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0F95B847" w14:textId="2362CBD1" w:rsidR="00CF19C9" w:rsidRPr="00AE480A" w:rsidRDefault="00CF19C9" w:rsidP="003929D3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5F7D1F" w:rsidRPr="00AE480A" w14:paraId="3290DEEB" w14:textId="77777777" w:rsidTr="00244183">
        <w:trPr>
          <w:trHeight w:val="1134"/>
        </w:trPr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89907F3" w14:textId="77777777" w:rsidR="005F7D1F" w:rsidRPr="00E9625C" w:rsidRDefault="005F7D1F" w:rsidP="003929D3">
            <w:pPr>
              <w:rPr>
                <w:rFonts w:cstheme="minorHAnsi"/>
              </w:rPr>
            </w:pP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21D2E466" w14:textId="30F78B46" w:rsidR="00CF19C9" w:rsidRPr="00AE480A" w:rsidRDefault="00CF19C9" w:rsidP="00CF19C9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441DE1" w:rsidRPr="00AE480A" w14:paraId="6E7F0654" w14:textId="77777777" w:rsidTr="003929D3">
        <w:trPr>
          <w:trHeight w:val="1701"/>
        </w:trPr>
        <w:tc>
          <w:tcPr>
            <w:tcW w:w="2835" w:type="dxa"/>
            <w:shd w:val="clear" w:color="auto" w:fill="FFFFFF" w:themeFill="background1"/>
            <w:vAlign w:val="center"/>
          </w:tcPr>
          <w:p w14:paraId="1CCF9F54" w14:textId="77777777" w:rsidR="001A6FB0" w:rsidRDefault="00441DE1" w:rsidP="003929D3">
            <w:pPr>
              <w:rPr>
                <w:rFonts w:cstheme="minorHAnsi"/>
              </w:rPr>
            </w:pPr>
            <w:r w:rsidRPr="00E9625C">
              <w:rPr>
                <w:rFonts w:cstheme="minorHAnsi"/>
              </w:rPr>
              <w:t xml:space="preserve">What factors should be </w:t>
            </w:r>
            <w:proofErr w:type="gramStart"/>
            <w:r w:rsidRPr="00E9625C">
              <w:rPr>
                <w:rFonts w:cstheme="minorHAnsi"/>
              </w:rPr>
              <w:t>taken into account</w:t>
            </w:r>
            <w:proofErr w:type="gramEnd"/>
            <w:r w:rsidRPr="00E9625C">
              <w:rPr>
                <w:rFonts w:cstheme="minorHAnsi"/>
              </w:rPr>
              <w:t xml:space="preserve"> when deciding </w:t>
            </w:r>
            <w:r w:rsidR="00490C27">
              <w:rPr>
                <w:rFonts w:cstheme="minorHAnsi"/>
              </w:rPr>
              <w:t>on the best investment option for you</w:t>
            </w:r>
            <w:r w:rsidRPr="00E9625C">
              <w:rPr>
                <w:rFonts w:cstheme="minorHAnsi"/>
              </w:rPr>
              <w:t xml:space="preserve">? </w:t>
            </w:r>
          </w:p>
          <w:p w14:paraId="6C300907" w14:textId="642013CF" w:rsidR="00441DE1" w:rsidRPr="00311260" w:rsidRDefault="00441DE1" w:rsidP="003929D3">
            <w:pPr>
              <w:rPr>
                <w:rFonts w:cstheme="minorHAnsi"/>
              </w:rPr>
            </w:pPr>
            <w:r w:rsidRPr="00E9625C">
              <w:rPr>
                <w:rFonts w:cstheme="minorHAnsi"/>
              </w:rPr>
              <w:t xml:space="preserve">Suggest reasons why each of these </w:t>
            </w:r>
            <w:r>
              <w:rPr>
                <w:rFonts w:cstheme="minorHAnsi"/>
              </w:rPr>
              <w:t>factors is important</w:t>
            </w:r>
            <w:r w:rsidRPr="00E9625C">
              <w:rPr>
                <w:rFonts w:cstheme="minorHAnsi"/>
              </w:rPr>
              <w:t>.</w:t>
            </w: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0762A5CB" w14:textId="60ED080B" w:rsidR="00441DE1" w:rsidRPr="007219DD" w:rsidRDefault="00441DE1" w:rsidP="007219D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441DE1" w:rsidRPr="00AE480A" w14:paraId="1AFC79B1" w14:textId="77777777" w:rsidTr="003929D3">
        <w:trPr>
          <w:trHeight w:val="1701"/>
        </w:trPr>
        <w:tc>
          <w:tcPr>
            <w:tcW w:w="2835" w:type="dxa"/>
            <w:shd w:val="clear" w:color="auto" w:fill="FFFFFF" w:themeFill="background1"/>
            <w:vAlign w:val="center"/>
          </w:tcPr>
          <w:p w14:paraId="1A22BD74" w14:textId="399C2760" w:rsidR="00441DE1" w:rsidRPr="00E9625C" w:rsidRDefault="00F432AC" w:rsidP="003929D3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 xml:space="preserve">List </w:t>
            </w:r>
            <w:r w:rsidR="0095545B">
              <w:rPr>
                <w:rFonts w:ascii="Calibri" w:eastAsia="Calibri" w:hAnsi="Calibri" w:cs="Calibri"/>
                <w:lang w:val="en-US" w:bidi="en-US"/>
              </w:rPr>
              <w:t>some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 </w:t>
            </w:r>
            <w:r w:rsidR="00441DE1" w:rsidRPr="00E9625C">
              <w:rPr>
                <w:rFonts w:ascii="Calibri" w:eastAsia="Calibri" w:hAnsi="Calibri" w:cs="Calibri"/>
                <w:lang w:val="en-US" w:bidi="en-US"/>
              </w:rPr>
              <w:t xml:space="preserve">reasons </w:t>
            </w:r>
            <w:r w:rsidR="0095545B">
              <w:rPr>
                <w:rFonts w:ascii="Calibri" w:eastAsia="Calibri" w:hAnsi="Calibri" w:cs="Calibri"/>
                <w:lang w:val="en-US" w:bidi="en-US"/>
              </w:rPr>
              <w:t xml:space="preserve">why you </w:t>
            </w:r>
            <w:r w:rsidR="00441DE1" w:rsidRPr="00E9625C">
              <w:rPr>
                <w:rFonts w:ascii="Calibri" w:eastAsia="Calibri" w:hAnsi="Calibri" w:cs="Calibri"/>
                <w:lang w:val="en-US" w:bidi="en-US"/>
              </w:rPr>
              <w:t>might change to a different superannuation fund?</w:t>
            </w: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41CAC536" w14:textId="38265695" w:rsidR="00441DE1" w:rsidRPr="008323FE" w:rsidRDefault="00441DE1" w:rsidP="003929D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441DE1" w:rsidRPr="00AE480A" w14:paraId="12B81345" w14:textId="77777777" w:rsidTr="003929D3">
        <w:trPr>
          <w:trHeight w:val="1701"/>
        </w:trPr>
        <w:tc>
          <w:tcPr>
            <w:tcW w:w="2835" w:type="dxa"/>
            <w:shd w:val="clear" w:color="auto" w:fill="FFFFFF" w:themeFill="background1"/>
            <w:vAlign w:val="center"/>
          </w:tcPr>
          <w:p w14:paraId="62D5434E" w14:textId="77777777" w:rsidR="00441DE1" w:rsidRPr="00E9625C" w:rsidRDefault="00441DE1" w:rsidP="003929D3">
            <w:pPr>
              <w:rPr>
                <w:rFonts w:cstheme="minorHAnsi"/>
              </w:rPr>
            </w:pPr>
            <w:r w:rsidRPr="00E9625C">
              <w:rPr>
                <w:rFonts w:ascii="Calibri" w:eastAsia="Calibri" w:hAnsi="Calibri" w:cs="Calibri"/>
                <w:lang w:val="en-US" w:bidi="en-US"/>
              </w:rPr>
              <w:t xml:space="preserve">If you were a member of </w:t>
            </w:r>
            <w:proofErr w:type="gramStart"/>
            <w:r w:rsidRPr="00E9625C">
              <w:rPr>
                <w:rFonts w:ascii="Calibri" w:eastAsia="Calibri" w:hAnsi="Calibri" w:cs="Calibri"/>
                <w:lang w:val="en-US" w:bidi="en-US"/>
              </w:rPr>
              <w:t>a number of</w:t>
            </w:r>
            <w:proofErr w:type="gramEnd"/>
            <w:r w:rsidRPr="00E9625C">
              <w:rPr>
                <w:rFonts w:ascii="Calibri" w:eastAsia="Calibri" w:hAnsi="Calibri" w:cs="Calibri"/>
                <w:lang w:val="en-US" w:bidi="en-US"/>
              </w:rPr>
              <w:t xml:space="preserve"> superannuation funds, what advantages would there be in merging them all into one fund?</w:t>
            </w: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3A95750C" w14:textId="62FEA21D" w:rsidR="00441DE1" w:rsidRPr="007219DD" w:rsidRDefault="00441DE1" w:rsidP="007219D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45A5B8AD" w14:textId="77777777" w:rsidR="0015459E" w:rsidRDefault="0015459E">
      <w:r>
        <w:br w:type="page"/>
      </w:r>
    </w:p>
    <w:tbl>
      <w:tblPr>
        <w:tblStyle w:val="TableGrid"/>
        <w:tblW w:w="9071" w:type="dxa"/>
        <w:tblInd w:w="112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15459E" w:rsidRPr="00AE480A" w14:paraId="3BF324C8" w14:textId="77777777" w:rsidTr="003929D3">
        <w:trPr>
          <w:trHeight w:val="454"/>
        </w:trPr>
        <w:tc>
          <w:tcPr>
            <w:tcW w:w="2835" w:type="dxa"/>
            <w:shd w:val="clear" w:color="auto" w:fill="478CCA"/>
            <w:vAlign w:val="center"/>
          </w:tcPr>
          <w:p w14:paraId="27D5FA49" w14:textId="79D6EF42" w:rsidR="0015459E" w:rsidRPr="00AE480A" w:rsidRDefault="0015459E" w:rsidP="003929D3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Research question</w:t>
            </w:r>
          </w:p>
        </w:tc>
        <w:tc>
          <w:tcPr>
            <w:tcW w:w="6236" w:type="dxa"/>
            <w:shd w:val="clear" w:color="auto" w:fill="478CCA"/>
            <w:vAlign w:val="center"/>
          </w:tcPr>
          <w:p w14:paraId="56EF789E" w14:textId="77777777" w:rsidR="0015459E" w:rsidRPr="00AE480A" w:rsidRDefault="0015459E" w:rsidP="003929D3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Answer</w:t>
            </w:r>
          </w:p>
        </w:tc>
      </w:tr>
      <w:tr w:rsidR="009307C8" w:rsidRPr="00AE480A" w14:paraId="4161B71B" w14:textId="77777777" w:rsidTr="00CB3F5F">
        <w:trPr>
          <w:trHeight w:val="2488"/>
        </w:trPr>
        <w:tc>
          <w:tcPr>
            <w:tcW w:w="2835" w:type="dxa"/>
            <w:shd w:val="clear" w:color="auto" w:fill="FFFFFF" w:themeFill="background1"/>
            <w:vAlign w:val="center"/>
          </w:tcPr>
          <w:p w14:paraId="2533C67B" w14:textId="59042B85" w:rsidR="009307C8" w:rsidRPr="00E9625C" w:rsidRDefault="009307C8" w:rsidP="005A4479">
            <w:pPr>
              <w:rPr>
                <w:rFonts w:ascii="Calibri" w:eastAsia="Calibri" w:hAnsi="Calibri" w:cs="Calibri"/>
                <w:lang w:val="en-US" w:bidi="en-US"/>
              </w:rPr>
            </w:pPr>
            <w:r w:rsidRPr="00720022">
              <w:rPr>
                <w:rFonts w:ascii="Calibri" w:eastAsia="Calibri" w:hAnsi="Calibri" w:cs="Calibri"/>
                <w:lang w:val="en-US" w:bidi="en-US"/>
              </w:rPr>
              <w:t xml:space="preserve">Under what circumstances should an individual consider putting extra </w:t>
            </w:r>
            <w:r w:rsidR="00B92953">
              <w:rPr>
                <w:rFonts w:ascii="Calibri" w:eastAsia="Calibri" w:hAnsi="Calibri" w:cs="Calibri"/>
                <w:lang w:val="en-US" w:bidi="en-US"/>
              </w:rPr>
              <w:t xml:space="preserve">money </w:t>
            </w:r>
            <w:r w:rsidRPr="00720022">
              <w:rPr>
                <w:rFonts w:ascii="Calibri" w:eastAsia="Calibri" w:hAnsi="Calibri" w:cs="Calibri"/>
                <w:lang w:val="en-US" w:bidi="en-US"/>
              </w:rPr>
              <w:t xml:space="preserve">into their super? </w:t>
            </w: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4E522BA8" w14:textId="77777777" w:rsidR="009307C8" w:rsidRPr="007219DD" w:rsidRDefault="009307C8" w:rsidP="005A447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9307C8" w:rsidRPr="00AE480A" w14:paraId="0808BF98" w14:textId="77777777" w:rsidTr="00CB3F5F">
        <w:trPr>
          <w:trHeight w:val="2488"/>
        </w:trPr>
        <w:tc>
          <w:tcPr>
            <w:tcW w:w="2835" w:type="dxa"/>
            <w:shd w:val="clear" w:color="auto" w:fill="FFFFFF" w:themeFill="background1"/>
            <w:vAlign w:val="center"/>
          </w:tcPr>
          <w:p w14:paraId="5CBA4FF0" w14:textId="77777777" w:rsidR="009307C8" w:rsidRPr="00E9625C" w:rsidRDefault="009307C8" w:rsidP="005A4479">
            <w:pPr>
              <w:rPr>
                <w:rFonts w:ascii="Calibri" w:eastAsia="Calibri" w:hAnsi="Calibri" w:cs="Calibri"/>
                <w:lang w:val="en-US" w:bidi="en-US"/>
              </w:rPr>
            </w:pPr>
            <w:r w:rsidRPr="00720022">
              <w:rPr>
                <w:rFonts w:ascii="Calibri" w:eastAsia="Calibri" w:hAnsi="Calibri" w:cs="Calibri"/>
                <w:lang w:val="en-US" w:bidi="en-US"/>
              </w:rPr>
              <w:t>What advantages are there for doing this?</w:t>
            </w: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72998ED0" w14:textId="77777777" w:rsidR="009307C8" w:rsidRPr="007219DD" w:rsidRDefault="009307C8" w:rsidP="005A447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441DE1" w:rsidRPr="00AE480A" w14:paraId="72288FB3" w14:textId="77777777" w:rsidTr="00CB3F5F">
        <w:trPr>
          <w:trHeight w:val="2488"/>
        </w:trPr>
        <w:tc>
          <w:tcPr>
            <w:tcW w:w="2835" w:type="dxa"/>
            <w:shd w:val="clear" w:color="auto" w:fill="FFFFFF" w:themeFill="background1"/>
            <w:vAlign w:val="center"/>
          </w:tcPr>
          <w:p w14:paraId="60118238" w14:textId="7D94A6C9" w:rsidR="00441DE1" w:rsidRPr="00311260" w:rsidRDefault="00441DE1" w:rsidP="003929D3">
            <w:pPr>
              <w:rPr>
                <w:rFonts w:cstheme="minorHAnsi"/>
              </w:rPr>
            </w:pPr>
            <w:r w:rsidRPr="00E9625C">
              <w:rPr>
                <w:rFonts w:cstheme="minorHAnsi"/>
              </w:rPr>
              <w:t>Which of the superannuation ‘Typical investment options’ (page 12) would you recommend for someone your age? Explain.</w:t>
            </w: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1ABD7B1C" w14:textId="77777777" w:rsidR="00441DE1" w:rsidRPr="00AE480A" w:rsidRDefault="00441DE1" w:rsidP="003929D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441DE1" w:rsidRPr="00AE480A" w14:paraId="4C190419" w14:textId="77777777" w:rsidTr="00CB3F5F">
        <w:trPr>
          <w:trHeight w:val="2488"/>
        </w:trPr>
        <w:tc>
          <w:tcPr>
            <w:tcW w:w="2835" w:type="dxa"/>
            <w:shd w:val="clear" w:color="auto" w:fill="FFFFFF" w:themeFill="background1"/>
            <w:vAlign w:val="center"/>
          </w:tcPr>
          <w:p w14:paraId="191DBE84" w14:textId="77777777" w:rsidR="00441DE1" w:rsidRPr="006E4D44" w:rsidRDefault="00441DE1" w:rsidP="003929D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1686F1" wp14:editId="6D43961A">
                  <wp:extent cx="155575" cy="129540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How does having more than one superannuation fund typically happen? </w:t>
            </w: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1174E244" w14:textId="4E95C82C" w:rsidR="00441DE1" w:rsidRPr="00AE480A" w:rsidRDefault="00441DE1" w:rsidP="003929D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441DE1" w:rsidRPr="00AE480A" w14:paraId="05B4E285" w14:textId="77777777" w:rsidTr="00CB3F5F">
        <w:trPr>
          <w:trHeight w:val="2488"/>
        </w:trPr>
        <w:tc>
          <w:tcPr>
            <w:tcW w:w="2835" w:type="dxa"/>
            <w:shd w:val="clear" w:color="auto" w:fill="FFFFFF" w:themeFill="background1"/>
            <w:vAlign w:val="center"/>
          </w:tcPr>
          <w:p w14:paraId="76BF122A" w14:textId="77777777" w:rsidR="00441DE1" w:rsidRDefault="00441DE1" w:rsidP="003929D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E25962" wp14:editId="0A8BDAD9">
                  <wp:extent cx="155575" cy="129540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</w:t>
            </w:r>
            <w:r w:rsidRPr="0003159E">
              <w:rPr>
                <w:rFonts w:ascii="Calibri" w:eastAsia="Calibri" w:hAnsi="Calibri" w:cs="Calibri"/>
                <w:lang w:val="en-US" w:bidi="en-US"/>
              </w:rPr>
              <w:t>Should you keep track of whether your employer is making your superannuation contributions? Is this important? Explain.</w:t>
            </w:r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1B28C25B" w14:textId="632D2177" w:rsidR="00441DE1" w:rsidRDefault="00441DE1" w:rsidP="003929D3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29787386" w14:textId="6C3430EF" w:rsidR="006D3CBD" w:rsidRPr="005B073B" w:rsidRDefault="002207B8" w:rsidP="002E4561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5B073B">
        <w:rPr>
          <w:rFonts w:cs="Times New Roman"/>
        </w:rPr>
        <w:lastRenderedPageBreak/>
        <w:t>According to The Super Guru (</w:t>
      </w:r>
      <w:hyperlink r:id="rId14" w:history="1">
        <w:r w:rsidR="00331BEC" w:rsidRPr="005B073B">
          <w:rPr>
            <w:rStyle w:val="Hyperlink"/>
            <w:rFonts w:cs="Times New Roman"/>
          </w:rPr>
          <w:t>www.superguru.com.au/retiring/how-much-super-will-i-need</w:t>
        </w:r>
      </w:hyperlink>
      <w:r w:rsidRPr="005B073B">
        <w:rPr>
          <w:rFonts w:cs="Times New Roman"/>
        </w:rPr>
        <w:t>)</w:t>
      </w:r>
      <w:r w:rsidR="00331BEC" w:rsidRPr="005B073B">
        <w:rPr>
          <w:rFonts w:cs="Times New Roman"/>
        </w:rPr>
        <w:t xml:space="preserve">, </w:t>
      </w:r>
      <w:r w:rsidR="008B17C9" w:rsidRPr="005B073B">
        <w:rPr>
          <w:rFonts w:cs="Times New Roman"/>
          <w:b/>
          <w:bCs/>
        </w:rPr>
        <w:t>to have a ‘comfortable’ retirement</w:t>
      </w:r>
      <w:r w:rsidR="00F96E86" w:rsidRPr="005B073B">
        <w:rPr>
          <w:rFonts w:cs="Times New Roman"/>
          <w:b/>
          <w:bCs/>
        </w:rPr>
        <w:t>, how much will you need in retirement savings (such as superannuation)</w:t>
      </w:r>
      <w:r w:rsidR="007A6811" w:rsidRPr="005B073B">
        <w:rPr>
          <w:rFonts w:cs="Times New Roman"/>
          <w:b/>
          <w:bCs/>
        </w:rPr>
        <w:t>?</w:t>
      </w:r>
      <w:r w:rsidR="002E4561" w:rsidRPr="005B073B">
        <w:rPr>
          <w:rFonts w:cs="Times New Roman"/>
        </w:rPr>
        <w:t xml:space="preserve"> </w:t>
      </w:r>
      <w:r w:rsidR="007A6811" w:rsidRPr="005B073B">
        <w:rPr>
          <w:rFonts w:cs="Times New Roman"/>
        </w:rPr>
        <w:br/>
      </w:r>
    </w:p>
    <w:tbl>
      <w:tblPr>
        <w:tblStyle w:val="TableGrid"/>
        <w:tblW w:w="9071" w:type="dxa"/>
        <w:tblInd w:w="112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8F102A" w:rsidRPr="00AE480A" w14:paraId="2A235672" w14:textId="77777777" w:rsidTr="00E10BF3">
        <w:trPr>
          <w:trHeight w:val="454"/>
        </w:trPr>
        <w:tc>
          <w:tcPr>
            <w:tcW w:w="4535" w:type="dxa"/>
            <w:shd w:val="clear" w:color="auto" w:fill="478CCA"/>
            <w:vAlign w:val="center"/>
          </w:tcPr>
          <w:p w14:paraId="04E39994" w14:textId="3BF62FC7" w:rsidR="008F102A" w:rsidRPr="00AE480A" w:rsidRDefault="007A6811" w:rsidP="00D959E8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Single</w:t>
            </w:r>
          </w:p>
        </w:tc>
        <w:tc>
          <w:tcPr>
            <w:tcW w:w="4536" w:type="dxa"/>
            <w:shd w:val="clear" w:color="auto" w:fill="478CCA"/>
            <w:vAlign w:val="center"/>
          </w:tcPr>
          <w:p w14:paraId="2A87786A" w14:textId="04728153" w:rsidR="008F102A" w:rsidRPr="00AE480A" w:rsidRDefault="007A6811" w:rsidP="00D959E8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Couple</w:t>
            </w:r>
          </w:p>
        </w:tc>
      </w:tr>
      <w:tr w:rsidR="008F102A" w:rsidRPr="007219DD" w14:paraId="50772F04" w14:textId="77777777" w:rsidTr="00E10BF3">
        <w:trPr>
          <w:trHeight w:val="1271"/>
        </w:trPr>
        <w:tc>
          <w:tcPr>
            <w:tcW w:w="4535" w:type="dxa"/>
            <w:shd w:val="clear" w:color="auto" w:fill="FFFFFF" w:themeFill="background1"/>
            <w:vAlign w:val="center"/>
          </w:tcPr>
          <w:p w14:paraId="28B82862" w14:textId="5BF5D06A" w:rsidR="008F102A" w:rsidRPr="00E9625C" w:rsidRDefault="008F102A" w:rsidP="00D959E8">
            <w:pPr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BF210B1" w14:textId="77777777" w:rsidR="008F102A" w:rsidRPr="007219DD" w:rsidRDefault="008F102A" w:rsidP="00D959E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1B07A489" w14:textId="77777777" w:rsidR="006D3CBD" w:rsidRPr="006D3CBD" w:rsidRDefault="006D3CBD" w:rsidP="006D3CBD">
      <w:pPr>
        <w:spacing w:after="0" w:line="276" w:lineRule="auto"/>
        <w:rPr>
          <w:rFonts w:cs="Times New Roman"/>
        </w:rPr>
      </w:pPr>
    </w:p>
    <w:p w14:paraId="57A7BBBE" w14:textId="0E790C7B" w:rsidR="003879B1" w:rsidRPr="009B2CFC" w:rsidRDefault="003879B1" w:rsidP="009B2CFC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9B2CFC">
        <w:rPr>
          <w:rFonts w:cs="Times New Roman"/>
        </w:rPr>
        <w:t xml:space="preserve">Many people </w:t>
      </w:r>
      <w:r w:rsidR="00516C2A" w:rsidRPr="009B2CFC">
        <w:rPr>
          <w:rFonts w:cs="Times New Roman"/>
        </w:rPr>
        <w:t xml:space="preserve">don’t understand the importance of checking that they are being paid the correct amount of </w:t>
      </w:r>
      <w:r w:rsidR="00DF4105" w:rsidRPr="009B2CFC">
        <w:rPr>
          <w:rFonts w:cs="Times New Roman"/>
        </w:rPr>
        <w:t>superannuation</w:t>
      </w:r>
      <w:r w:rsidR="00943802">
        <w:rPr>
          <w:rFonts w:cs="Times New Roman"/>
        </w:rPr>
        <w:t xml:space="preserve">. </w:t>
      </w:r>
      <w:r w:rsidR="00D4720B">
        <w:rPr>
          <w:rFonts w:cs="Times New Roman"/>
        </w:rPr>
        <w:t>Unfortunately, e</w:t>
      </w:r>
      <w:r w:rsidR="00516C2A" w:rsidRPr="009B2CFC">
        <w:rPr>
          <w:rFonts w:cs="Times New Roman"/>
        </w:rPr>
        <w:t xml:space="preserve">ven fewer know what to do if they </w:t>
      </w:r>
      <w:r w:rsidR="003506FA" w:rsidRPr="009B2CFC">
        <w:rPr>
          <w:rFonts w:cs="Times New Roman"/>
        </w:rPr>
        <w:t xml:space="preserve">find out </w:t>
      </w:r>
      <w:r w:rsidR="00EC3355">
        <w:rPr>
          <w:rFonts w:cs="Times New Roman"/>
        </w:rPr>
        <w:t xml:space="preserve">their superannuation is being </w:t>
      </w:r>
      <w:r w:rsidR="00DF4105" w:rsidRPr="009B2CFC">
        <w:rPr>
          <w:rFonts w:cs="Times New Roman"/>
        </w:rPr>
        <w:t xml:space="preserve">paid </w:t>
      </w:r>
      <w:r w:rsidR="005675EF" w:rsidRPr="009B2CFC">
        <w:rPr>
          <w:rFonts w:cs="Times New Roman"/>
        </w:rPr>
        <w:t>incorrect</w:t>
      </w:r>
      <w:r w:rsidR="00EC3355">
        <w:rPr>
          <w:rFonts w:cs="Times New Roman"/>
        </w:rPr>
        <w:t>ly – or in some cases, not paid at all</w:t>
      </w:r>
      <w:r w:rsidR="00D4720B">
        <w:rPr>
          <w:rFonts w:cs="Times New Roman"/>
        </w:rPr>
        <w:t>!</w:t>
      </w:r>
      <w:r w:rsidR="005675EF" w:rsidRPr="009B2CFC">
        <w:rPr>
          <w:rFonts w:cs="Times New Roman"/>
        </w:rPr>
        <w:t xml:space="preserve"> </w:t>
      </w:r>
    </w:p>
    <w:p w14:paraId="75B83A8D" w14:textId="77777777" w:rsidR="005675EF" w:rsidRDefault="005675EF" w:rsidP="005675EF">
      <w:pPr>
        <w:pStyle w:val="ListParagraph"/>
        <w:spacing w:after="0" w:line="276" w:lineRule="auto"/>
        <w:ind w:left="357"/>
        <w:rPr>
          <w:rFonts w:cs="Times New Roman"/>
        </w:rPr>
      </w:pPr>
    </w:p>
    <w:p w14:paraId="57558EE9" w14:textId="411ADB9C" w:rsidR="0058226C" w:rsidRDefault="00E35269" w:rsidP="0058226C">
      <w:pPr>
        <w:spacing w:after="0"/>
        <w:ind w:left="360"/>
        <w:rPr>
          <w:rFonts w:ascii="Calibri" w:eastAsia="Calibri" w:hAnsi="Calibri" w:cs="Times New Roman"/>
        </w:rPr>
      </w:pPr>
      <w:r w:rsidRPr="00E35269">
        <w:rPr>
          <w:rFonts w:ascii="Calibri" w:eastAsia="Calibri" w:hAnsi="Calibri" w:cs="Times New Roman"/>
        </w:rPr>
        <w:t>Choose</w:t>
      </w:r>
      <w:r w:rsidR="005675EF" w:rsidRPr="00E35269">
        <w:rPr>
          <w:rFonts w:ascii="Calibri" w:eastAsia="Calibri" w:hAnsi="Calibri" w:cs="Times New Roman"/>
        </w:rPr>
        <w:t xml:space="preserve"> a format </w:t>
      </w:r>
      <w:r w:rsidR="006A6FB1" w:rsidRPr="00E35269">
        <w:rPr>
          <w:rFonts w:ascii="Calibri" w:eastAsia="Calibri" w:hAnsi="Calibri" w:cs="Times New Roman"/>
        </w:rPr>
        <w:t xml:space="preserve">that </w:t>
      </w:r>
      <w:r w:rsidRPr="00E35269">
        <w:rPr>
          <w:rFonts w:ascii="Calibri" w:eastAsia="Calibri" w:hAnsi="Calibri" w:cs="Times New Roman"/>
        </w:rPr>
        <w:t>you believe will reach your peers</w:t>
      </w:r>
      <w:r w:rsidR="00DF2AEF" w:rsidRPr="00E35269">
        <w:rPr>
          <w:rFonts w:ascii="Calibri" w:eastAsia="Calibri" w:hAnsi="Calibri" w:cs="Times New Roman"/>
        </w:rPr>
        <w:t xml:space="preserve"> (</w:t>
      </w:r>
      <w:r w:rsidR="00354955" w:rsidRPr="00E35269">
        <w:rPr>
          <w:rFonts w:ascii="Calibri" w:eastAsia="Calibri" w:hAnsi="Calibri" w:cs="Times New Roman"/>
        </w:rPr>
        <w:t>e.g.,</w:t>
      </w:r>
      <w:r w:rsidR="00DF2AEF" w:rsidRPr="00E35269">
        <w:rPr>
          <w:rFonts w:ascii="Calibri" w:eastAsia="Calibri" w:hAnsi="Calibri" w:cs="Times New Roman"/>
        </w:rPr>
        <w:t xml:space="preserve"> infographic, presentation, poster, social media post, video, etc.)</w:t>
      </w:r>
      <w:r w:rsidR="00EB62FA">
        <w:rPr>
          <w:rFonts w:ascii="Calibri" w:eastAsia="Calibri" w:hAnsi="Calibri" w:cs="Times New Roman"/>
        </w:rPr>
        <w:t xml:space="preserve">. </w:t>
      </w:r>
      <w:r w:rsidR="00157FBB">
        <w:rPr>
          <w:rFonts w:ascii="Calibri" w:eastAsia="Calibri" w:hAnsi="Calibri" w:cs="Times New Roman"/>
        </w:rPr>
        <w:t>Use internet research and the websites provided to</w:t>
      </w:r>
      <w:r w:rsidR="008D225D">
        <w:rPr>
          <w:rFonts w:ascii="Calibri" w:eastAsia="Calibri" w:hAnsi="Calibri" w:cs="Times New Roman"/>
          <w:b/>
          <w:bCs/>
        </w:rPr>
        <w:t xml:space="preserve"> </w:t>
      </w:r>
      <w:r w:rsidR="002C0E8A">
        <w:rPr>
          <w:rFonts w:ascii="Calibri" w:eastAsia="Calibri" w:hAnsi="Calibri" w:cs="Times New Roman"/>
        </w:rPr>
        <w:t>construct a response</w:t>
      </w:r>
      <w:r w:rsidR="00157FBB">
        <w:rPr>
          <w:rFonts w:ascii="Calibri" w:eastAsia="Calibri" w:hAnsi="Calibri" w:cs="Times New Roman"/>
        </w:rPr>
        <w:t xml:space="preserve"> in your chosen format</w:t>
      </w:r>
      <w:r w:rsidR="002C0E8A">
        <w:rPr>
          <w:rFonts w:ascii="Calibri" w:eastAsia="Calibri" w:hAnsi="Calibri" w:cs="Times New Roman"/>
        </w:rPr>
        <w:t xml:space="preserve"> that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8D225D" w:rsidRPr="002C0E8A">
        <w:rPr>
          <w:rFonts w:ascii="Calibri" w:eastAsia="Calibri" w:hAnsi="Calibri" w:cs="Times New Roman"/>
        </w:rPr>
        <w:t>explain</w:t>
      </w:r>
      <w:r w:rsidR="002C0E8A" w:rsidRPr="002C0E8A">
        <w:rPr>
          <w:rFonts w:ascii="Calibri" w:eastAsia="Calibri" w:hAnsi="Calibri" w:cs="Times New Roman"/>
        </w:rPr>
        <w:t>s</w:t>
      </w:r>
      <w:r w:rsidR="008D225D">
        <w:rPr>
          <w:rFonts w:ascii="Calibri" w:eastAsia="Calibri" w:hAnsi="Calibri" w:cs="Times New Roman"/>
          <w:b/>
          <w:bCs/>
        </w:rPr>
        <w:t xml:space="preserve"> </w:t>
      </w:r>
      <w:r w:rsidR="00E508B0">
        <w:rPr>
          <w:rFonts w:ascii="Calibri" w:eastAsia="Calibri" w:hAnsi="Calibri" w:cs="Times New Roman"/>
          <w:b/>
          <w:bCs/>
        </w:rPr>
        <w:t xml:space="preserve">why it is </w:t>
      </w:r>
      <w:r w:rsidR="00EB62FA">
        <w:rPr>
          <w:rFonts w:ascii="Calibri" w:eastAsia="Calibri" w:hAnsi="Calibri" w:cs="Times New Roman"/>
          <w:b/>
          <w:bCs/>
        </w:rPr>
        <w:t>essential</w:t>
      </w:r>
      <w:r w:rsidR="00E508B0">
        <w:rPr>
          <w:rFonts w:ascii="Calibri" w:eastAsia="Calibri" w:hAnsi="Calibri" w:cs="Times New Roman"/>
          <w:b/>
          <w:bCs/>
        </w:rPr>
        <w:t xml:space="preserve"> to check you are being paid the correct amount of superannuation and </w:t>
      </w:r>
      <w:r w:rsidR="006A6FB1">
        <w:rPr>
          <w:rFonts w:ascii="Calibri" w:eastAsia="Calibri" w:hAnsi="Calibri" w:cs="Times New Roman"/>
          <w:b/>
          <w:bCs/>
        </w:rPr>
        <w:t xml:space="preserve">what to do if you find you are being underpaid. </w:t>
      </w:r>
    </w:p>
    <w:p w14:paraId="08585A00" w14:textId="77777777" w:rsidR="0058226C" w:rsidRDefault="0058226C" w:rsidP="0058226C">
      <w:pPr>
        <w:spacing w:after="0"/>
        <w:ind w:left="360"/>
        <w:rPr>
          <w:rFonts w:ascii="Calibri" w:eastAsia="Calibri" w:hAnsi="Calibri" w:cs="Times New Roman"/>
        </w:rPr>
      </w:pPr>
    </w:p>
    <w:p w14:paraId="40816999" w14:textId="3D2B80F4" w:rsidR="0058226C" w:rsidRPr="00F475D4" w:rsidRDefault="00F43CE8" w:rsidP="0058226C">
      <w:pPr>
        <w:spacing w:after="0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Some websites</w:t>
      </w:r>
      <w:r w:rsidR="0058226C">
        <w:rPr>
          <w:rFonts w:ascii="Calibri" w:eastAsia="Calibri" w:hAnsi="Calibri" w:cs="Times New Roman"/>
        </w:rPr>
        <w:t xml:space="preserve"> to help you get started:</w:t>
      </w:r>
    </w:p>
    <w:p w14:paraId="3FBCE3E1" w14:textId="17DE32B9" w:rsidR="0058226C" w:rsidRDefault="00F43CE8" w:rsidP="0058226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36" w:after="0" w:line="240" w:lineRule="auto"/>
        <w:contextualSpacing w:val="0"/>
      </w:pPr>
      <w:r>
        <w:t>H</w:t>
      </w:r>
      <w:r w:rsidRPr="00980C8D">
        <w:t>ere’s a running list of Australian businesses that have underpaid staff in 2019</w:t>
      </w:r>
      <w:r>
        <w:t xml:space="preserve"> </w:t>
      </w:r>
      <w:r w:rsidR="00980C8D">
        <w:t xml:space="preserve">(SBS News) - </w:t>
      </w:r>
      <w:hyperlink r:id="rId15" w:history="1">
        <w:r w:rsidR="0051104F" w:rsidRPr="002E0EB5">
          <w:rPr>
            <w:rStyle w:val="Hyperlink"/>
          </w:rPr>
          <w:t>https://www.sbs.com.au/news/the-feed/here-s-a-running-list-of-australian-businesses-that-have-underpaid-staff-in-2019</w:t>
        </w:r>
      </w:hyperlink>
    </w:p>
    <w:p w14:paraId="31C0EC1D" w14:textId="4BB1FB27" w:rsidR="0026012D" w:rsidRDefault="003879B1" w:rsidP="0058226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36" w:after="0" w:line="240" w:lineRule="auto"/>
        <w:contextualSpacing w:val="0"/>
      </w:pPr>
      <w:r w:rsidRPr="003879B1">
        <w:t>Optus repaying underpaid super for thousands of present and past workers</w:t>
      </w:r>
      <w:r>
        <w:t xml:space="preserve"> (ZDNet) </w:t>
      </w:r>
      <w:r w:rsidR="0051104F">
        <w:t xml:space="preserve">- </w:t>
      </w:r>
      <w:hyperlink r:id="rId16" w:history="1">
        <w:r w:rsidR="0051104F" w:rsidRPr="002E0EB5">
          <w:rPr>
            <w:rStyle w:val="Hyperlink"/>
          </w:rPr>
          <w:t>https://www.zdnet.com/article/optus-repaying-underpaid-super-for-thousands-of-present-and-past-workers/</w:t>
        </w:r>
      </w:hyperlink>
    </w:p>
    <w:p w14:paraId="57635965" w14:textId="4AD772E5" w:rsidR="00E5350C" w:rsidRDefault="00937D46" w:rsidP="003879B1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36" w:after="0" w:line="240" w:lineRule="auto"/>
        <w:contextualSpacing w:val="0"/>
      </w:pPr>
      <w:r w:rsidRPr="00937D46">
        <w:t>$</w:t>
      </w:r>
      <w:r w:rsidR="00CF728C">
        <w:t>1</w:t>
      </w:r>
      <w:r w:rsidRPr="00937D46">
        <w:t>,</w:t>
      </w:r>
      <w:r w:rsidR="00CF728C">
        <w:t>700</w:t>
      </w:r>
      <w:r w:rsidRPr="00937D46">
        <w:t xml:space="preserve"> in Unpaid Super Every Year – Here’s What You Can Do About It</w:t>
      </w:r>
      <w:r>
        <w:t xml:space="preserve"> - </w:t>
      </w:r>
      <w:hyperlink r:id="rId17" w:history="1">
        <w:r w:rsidRPr="002E0EB5">
          <w:rPr>
            <w:rStyle w:val="Hyperlink"/>
          </w:rPr>
          <w:t>https://www.etax.com.au/unpaid-super/</w:t>
        </w:r>
      </w:hyperlink>
      <w:r>
        <w:t xml:space="preserve"> </w:t>
      </w:r>
    </w:p>
    <w:p w14:paraId="00C53062" w14:textId="65390435" w:rsidR="0058226C" w:rsidRDefault="003879B1" w:rsidP="003879B1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36" w:after="0" w:line="240" w:lineRule="auto"/>
        <w:contextualSpacing w:val="0"/>
      </w:pPr>
      <w:r w:rsidRPr="003879B1">
        <w:t>Report unpaid super contributions from my employer</w:t>
      </w:r>
      <w:r>
        <w:t xml:space="preserve"> (</w:t>
      </w:r>
      <w:r w:rsidR="0051104F">
        <w:t>ATO</w:t>
      </w:r>
      <w:r>
        <w:t>)</w:t>
      </w:r>
      <w:r w:rsidR="0051104F">
        <w:t xml:space="preserve"> - </w:t>
      </w:r>
      <w:hyperlink r:id="rId18" w:history="1">
        <w:r w:rsidR="00980C8D" w:rsidRPr="002E0EB5">
          <w:rPr>
            <w:rStyle w:val="Hyperlink"/>
          </w:rPr>
          <w:t>https://www.a</w:t>
        </w:r>
        <w:r w:rsidR="00980C8D" w:rsidRPr="002E0EB5">
          <w:rPr>
            <w:rStyle w:val="Hyperlink"/>
          </w:rPr>
          <w:t>t</w:t>
        </w:r>
        <w:r w:rsidR="00980C8D" w:rsidRPr="002E0EB5">
          <w:rPr>
            <w:rStyle w:val="Hyperlink"/>
          </w:rPr>
          <w:t>o.gov.au/calculators-and-tools/report-unpaid-super-contributions-from-my-employer/</w:t>
        </w:r>
      </w:hyperlink>
      <w:r w:rsidR="002A18E8">
        <w:t xml:space="preserve"> </w:t>
      </w:r>
    </w:p>
    <w:p w14:paraId="37C44E8F" w14:textId="2D51DC97" w:rsidR="00063774" w:rsidRPr="00EB34BB" w:rsidRDefault="00063774" w:rsidP="009B2CFC"/>
    <w:sectPr w:rsidR="00063774" w:rsidRPr="00EB34BB" w:rsidSect="00C75687">
      <w:headerReference w:type="default" r:id="rId19"/>
      <w:footerReference w:type="default" r:id="rId20"/>
      <w:pgSz w:w="11906" w:h="16838"/>
      <w:pgMar w:top="1440" w:right="1389" w:bottom="1440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B31D1" w14:textId="77777777" w:rsidR="00700A8D" w:rsidRDefault="00700A8D">
      <w:pPr>
        <w:spacing w:after="0" w:line="240" w:lineRule="auto"/>
      </w:pPr>
      <w:r>
        <w:separator/>
      </w:r>
    </w:p>
  </w:endnote>
  <w:endnote w:type="continuationSeparator" w:id="0">
    <w:p w14:paraId="4E12872D" w14:textId="77777777" w:rsidR="00700A8D" w:rsidRDefault="00700A8D">
      <w:pPr>
        <w:spacing w:after="0" w:line="240" w:lineRule="auto"/>
      </w:pPr>
      <w:r>
        <w:continuationSeparator/>
      </w:r>
    </w:p>
  </w:endnote>
  <w:endnote w:type="continuationNotice" w:id="1">
    <w:p w14:paraId="0F605E70" w14:textId="77777777" w:rsidR="00700A8D" w:rsidRDefault="00700A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t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B2925" w14:textId="2649A6D6" w:rsidR="00C75687" w:rsidRPr="00AC0D3E" w:rsidRDefault="00C75687" w:rsidP="00AC0D3E">
    <w:pPr>
      <w:widowControl w:val="0"/>
      <w:autoSpaceDE w:val="0"/>
      <w:autoSpaceDN w:val="0"/>
      <w:spacing w:before="96" w:after="0" w:line="240" w:lineRule="auto"/>
      <w:jc w:val="right"/>
      <w:outlineLvl w:val="2"/>
      <w:rPr>
        <w:rFonts w:ascii="Volte" w:eastAsia="Calibri" w:hAnsi="Volte" w:cs="Arial"/>
        <w:b/>
        <w:bCs/>
        <w:color w:val="1C478A"/>
        <w:sz w:val="18"/>
        <w:szCs w:val="18"/>
        <w:lang w:val="en-US" w:bidi="en-US"/>
      </w:rPr>
    </w:pPr>
    <w:r w:rsidRPr="00AC0D3E">
      <w:rPr>
        <w:rFonts w:ascii="Volte" w:eastAsia="Calibri" w:hAnsi="Volte" w:cs="Arial"/>
        <w:b/>
        <w:bCs/>
        <w:color w:val="1C478A"/>
        <w:sz w:val="18"/>
        <w:szCs w:val="18"/>
        <w:lang w:val="en-US" w:bidi="en-US"/>
      </w:rPr>
      <w:t>Financial Basics Foundation WebQuest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5371E" w14:textId="77777777" w:rsidR="00700A8D" w:rsidRDefault="00700A8D">
      <w:pPr>
        <w:spacing w:after="0" w:line="240" w:lineRule="auto"/>
      </w:pPr>
      <w:r>
        <w:separator/>
      </w:r>
    </w:p>
  </w:footnote>
  <w:footnote w:type="continuationSeparator" w:id="0">
    <w:p w14:paraId="00E7687A" w14:textId="77777777" w:rsidR="00700A8D" w:rsidRDefault="00700A8D">
      <w:pPr>
        <w:spacing w:after="0" w:line="240" w:lineRule="auto"/>
      </w:pPr>
      <w:r>
        <w:continuationSeparator/>
      </w:r>
    </w:p>
  </w:footnote>
  <w:footnote w:type="continuationNotice" w:id="1">
    <w:p w14:paraId="30FF7F20" w14:textId="77777777" w:rsidR="00700A8D" w:rsidRDefault="00700A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C90B9" w14:textId="2410E794" w:rsidR="00847D18" w:rsidRPr="00AC0D3E" w:rsidRDefault="001424CC" w:rsidP="00847D18">
    <w:pPr>
      <w:widowControl w:val="0"/>
      <w:autoSpaceDE w:val="0"/>
      <w:autoSpaceDN w:val="0"/>
      <w:spacing w:before="96" w:after="0" w:line="240" w:lineRule="auto"/>
      <w:outlineLvl w:val="2"/>
      <w:rPr>
        <w:rFonts w:ascii="Volte" w:eastAsia="Calibri" w:hAnsi="Volte" w:cs="Arial"/>
        <w:b/>
        <w:bCs/>
        <w:color w:val="1C478A"/>
        <w:sz w:val="18"/>
        <w:szCs w:val="18"/>
        <w:lang w:val="en-US" w:bidi="en-US"/>
      </w:rPr>
    </w:pPr>
    <w:bookmarkStart w:id="1" w:name="_Hlk36475495"/>
    <w:bookmarkStart w:id="2" w:name="_Hlk36475777"/>
    <w:r w:rsidRPr="00AC0D3E">
      <w:rPr>
        <w:rFonts w:ascii="Volte" w:hAnsi="Volte"/>
        <w:noProof/>
      </w:rPr>
      <w:drawing>
        <wp:anchor distT="0" distB="0" distL="114300" distR="114300" simplePos="0" relativeHeight="251660288" behindDoc="0" locked="0" layoutInCell="1" allowOverlap="1" wp14:anchorId="6574719E" wp14:editId="46871B10">
          <wp:simplePos x="0" y="0"/>
          <wp:positionH relativeFrom="column">
            <wp:posOffset>4623435</wp:posOffset>
          </wp:positionH>
          <wp:positionV relativeFrom="paragraph">
            <wp:posOffset>42174</wp:posOffset>
          </wp:positionV>
          <wp:extent cx="1449070" cy="527685"/>
          <wp:effectExtent l="0" t="0" r="0" b="5715"/>
          <wp:wrapNone/>
          <wp:docPr id="263018374" name="Picture 1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018374" name="Picture 1" descr="A close up of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D18" w:rsidRPr="00AC0D3E">
      <w:rPr>
        <w:rFonts w:ascii="Volte" w:eastAsia="Calibri" w:hAnsi="Volte" w:cs="Arial"/>
        <w:b/>
        <w:bCs/>
        <w:color w:val="1C478A"/>
        <w:sz w:val="18"/>
        <w:szCs w:val="18"/>
        <w:lang w:val="en-US" w:bidi="en-US"/>
      </w:rPr>
      <w:t xml:space="preserve">WebQuest worksheet </w:t>
    </w:r>
  </w:p>
  <w:p w14:paraId="56B8F5A1" w14:textId="79332E9E" w:rsidR="00847D18" w:rsidRPr="00AC0D3E" w:rsidRDefault="00844776" w:rsidP="00847D18">
    <w:pPr>
      <w:widowControl w:val="0"/>
      <w:autoSpaceDE w:val="0"/>
      <w:autoSpaceDN w:val="0"/>
      <w:spacing w:before="96" w:after="0" w:line="240" w:lineRule="auto"/>
      <w:outlineLvl w:val="2"/>
      <w:rPr>
        <w:rFonts w:ascii="Volte" w:eastAsia="Calibri" w:hAnsi="Volte" w:cs="Arial"/>
        <w:b/>
        <w:bCs/>
        <w:color w:val="1C478A"/>
        <w:sz w:val="18"/>
        <w:szCs w:val="18"/>
        <w:lang w:val="en-US" w:bidi="en-US"/>
      </w:rPr>
    </w:pPr>
    <w:r w:rsidRPr="00AC0D3E">
      <w:rPr>
        <w:rFonts w:ascii="Volte" w:eastAsia="Calibri" w:hAnsi="Volte" w:cs="Arial"/>
        <w:b/>
        <w:bCs/>
        <w:color w:val="1C478A"/>
        <w:sz w:val="18"/>
        <w:szCs w:val="18"/>
        <w:lang w:val="en-US" w:bidi="en-US"/>
      </w:rPr>
      <w:t>Superannuation – Why do I need it?</w:t>
    </w:r>
  </w:p>
  <w:p w14:paraId="75FCA127" w14:textId="6E6EA908" w:rsidR="00491E8A" w:rsidRPr="00AC0D3E" w:rsidRDefault="00847D18" w:rsidP="00C61394">
    <w:pPr>
      <w:widowControl w:val="0"/>
      <w:autoSpaceDE w:val="0"/>
      <w:autoSpaceDN w:val="0"/>
      <w:spacing w:before="96" w:after="0" w:line="240" w:lineRule="auto"/>
      <w:outlineLvl w:val="2"/>
      <w:rPr>
        <w:rFonts w:ascii="Volte" w:hAnsi="Volte"/>
      </w:rPr>
    </w:pPr>
    <w:r w:rsidRPr="00AC0D3E">
      <w:rPr>
        <w:rFonts w:ascii="Volte" w:eastAsia="Calibri" w:hAnsi="Volte" w:cs="Arial"/>
        <w:b/>
        <w:bCs/>
        <w:color w:val="1C478A"/>
        <w:lang w:val="en-US" w:bidi="en-US"/>
      </w:rPr>
      <w:t xml:space="preserve">TASK 1 </w:t>
    </w:r>
    <w:r w:rsidR="00844776" w:rsidRPr="00AC0D3E">
      <w:rPr>
        <w:rFonts w:ascii="Volte" w:eastAsia="Calibri" w:hAnsi="Volte" w:cs="Arial"/>
        <w:b/>
        <w:bCs/>
        <w:color w:val="1C478A"/>
        <w:lang w:val="en-US" w:bidi="en-US"/>
      </w:rPr>
      <w:t>–</w:t>
    </w:r>
    <w:r w:rsidRPr="00AC0D3E">
      <w:rPr>
        <w:rFonts w:ascii="Volte" w:eastAsia="Calibri" w:hAnsi="Volte" w:cs="Arial"/>
        <w:b/>
        <w:bCs/>
        <w:color w:val="1C478A"/>
        <w:lang w:val="en-US" w:bidi="en-US"/>
      </w:rPr>
      <w:t xml:space="preserve"> </w:t>
    </w:r>
    <w:bookmarkEnd w:id="1"/>
    <w:r w:rsidR="00466760" w:rsidRPr="00AC0D3E">
      <w:rPr>
        <w:rFonts w:ascii="Volte" w:eastAsia="Calibri" w:hAnsi="Volte" w:cs="Arial"/>
        <w:b/>
        <w:bCs/>
        <w:color w:val="1C478A"/>
        <w:lang w:val="en-US" w:bidi="en-US"/>
      </w:rPr>
      <w:t>Understanding and managing</w:t>
    </w:r>
    <w:r w:rsidR="0053271F" w:rsidRPr="00AC0D3E">
      <w:rPr>
        <w:rFonts w:ascii="Volte" w:eastAsia="Calibri" w:hAnsi="Volte" w:cs="Arial"/>
        <w:b/>
        <w:bCs/>
        <w:color w:val="1C478A"/>
        <w:lang w:val="en-US" w:bidi="en-US"/>
      </w:rPr>
      <w:t xml:space="preserve"> super</w:t>
    </w:r>
    <w:r w:rsidRPr="00AC0D3E">
      <w:rPr>
        <w:rFonts w:ascii="Volte" w:eastAsia="Calibri" w:hAnsi="Volte" w:cs="Lucida Sans Unicode"/>
        <w:b/>
        <w:bCs/>
        <w:color w:val="1C75BC"/>
        <w:sz w:val="28"/>
        <w:szCs w:val="28"/>
        <w:lang w:val="en-US" w:bidi="en-US"/>
      </w:rPr>
      <w:tab/>
    </w:r>
    <w:bookmarkEnd w:id="2"/>
    <w:r w:rsidR="003C3446">
      <w:rPr>
        <w:rFonts w:ascii="Volte" w:eastAsia="Calibri" w:hAnsi="Volte" w:cs="Lucida Sans Unicode"/>
        <w:b/>
        <w:bCs/>
        <w:color w:val="1C75BC"/>
        <w:sz w:val="28"/>
        <w:szCs w:val="28"/>
        <w:lang w:val="en-US" w:bidi="en-US"/>
      </w:rPr>
      <w:br/>
    </w:r>
    <w:r w:rsidRPr="00AC0D3E">
      <w:rPr>
        <w:rFonts w:ascii="Volte" w:eastAsia="Calibri" w:hAnsi="Volte" w:cs="Lucida Sans Unicode"/>
        <w:b/>
        <w:bCs/>
        <w:color w:val="1C75BC"/>
        <w:sz w:val="28"/>
        <w:szCs w:val="28"/>
        <w:lang w:val="en-US" w:bidi="en-US"/>
      </w:rPr>
      <w:tab/>
    </w:r>
    <w:r w:rsidRPr="00AC0D3E">
      <w:rPr>
        <w:rFonts w:ascii="Volte" w:eastAsia="Calibri" w:hAnsi="Volte" w:cs="Lucida Sans Unicode"/>
        <w:b/>
        <w:bCs/>
        <w:color w:val="1C75BC"/>
        <w:sz w:val="28"/>
        <w:szCs w:val="28"/>
        <w:lang w:val="en-US" w:bidi="en-US"/>
      </w:rPr>
      <w:tab/>
    </w:r>
    <w:r w:rsidRPr="00AC0D3E">
      <w:rPr>
        <w:rFonts w:ascii="Volte" w:eastAsia="Calibri" w:hAnsi="Volte" w:cs="Lucida Sans Unicode"/>
        <w:b/>
        <w:bCs/>
        <w:color w:val="1C75BC"/>
        <w:sz w:val="28"/>
        <w:szCs w:val="28"/>
        <w:lang w:val="en-US" w:bidi="en-US"/>
      </w:rPr>
      <w:tab/>
    </w:r>
    <w:r w:rsidRPr="00AC0D3E">
      <w:rPr>
        <w:rFonts w:ascii="Volte" w:eastAsia="Calibri" w:hAnsi="Volte" w:cs="Lucida Sans Unicode"/>
        <w:b/>
        <w:bCs/>
        <w:color w:val="1C75BC"/>
        <w:sz w:val="28"/>
        <w:szCs w:val="28"/>
        <w:lang w:val="en-US" w:bidi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2E65"/>
    <w:multiLevelType w:val="hybridMultilevel"/>
    <w:tmpl w:val="61A09104"/>
    <w:lvl w:ilvl="0" w:tplc="21BC8EA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74FC"/>
    <w:multiLevelType w:val="hybridMultilevel"/>
    <w:tmpl w:val="6884132E"/>
    <w:lvl w:ilvl="0" w:tplc="3E5E02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90EA7"/>
    <w:multiLevelType w:val="hybridMultilevel"/>
    <w:tmpl w:val="737CE2D4"/>
    <w:lvl w:ilvl="0" w:tplc="A48AE72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A05B7"/>
    <w:multiLevelType w:val="hybridMultilevel"/>
    <w:tmpl w:val="401E1F44"/>
    <w:lvl w:ilvl="0" w:tplc="BD96C78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D646FD"/>
    <w:multiLevelType w:val="hybridMultilevel"/>
    <w:tmpl w:val="4FCEECEA"/>
    <w:lvl w:ilvl="0" w:tplc="3E5E02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13F65"/>
    <w:multiLevelType w:val="hybridMultilevel"/>
    <w:tmpl w:val="984C36C6"/>
    <w:lvl w:ilvl="0" w:tplc="8D149B5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300ED"/>
    <w:multiLevelType w:val="hybridMultilevel"/>
    <w:tmpl w:val="550E5A32"/>
    <w:lvl w:ilvl="0" w:tplc="A2480B64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10576">
    <w:abstractNumId w:val="2"/>
  </w:num>
  <w:num w:numId="2" w16cid:durableId="1152143007">
    <w:abstractNumId w:val="5"/>
  </w:num>
  <w:num w:numId="3" w16cid:durableId="111750087">
    <w:abstractNumId w:val="4"/>
  </w:num>
  <w:num w:numId="4" w16cid:durableId="1830055189">
    <w:abstractNumId w:val="1"/>
  </w:num>
  <w:num w:numId="5" w16cid:durableId="1393189504">
    <w:abstractNumId w:val="0"/>
  </w:num>
  <w:num w:numId="6" w16cid:durableId="1638216581">
    <w:abstractNumId w:val="6"/>
  </w:num>
  <w:num w:numId="7" w16cid:durableId="18472870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E2NjOztDS1MDOyMLZQ0lEKTi0uzszPAykwM68FALHBVVktAAAA"/>
  </w:docVars>
  <w:rsids>
    <w:rsidRoot w:val="00CE57C0"/>
    <w:rsid w:val="0000092B"/>
    <w:rsid w:val="00003472"/>
    <w:rsid w:val="000100E5"/>
    <w:rsid w:val="00020005"/>
    <w:rsid w:val="0002464E"/>
    <w:rsid w:val="00026AD6"/>
    <w:rsid w:val="00034E5E"/>
    <w:rsid w:val="000370B7"/>
    <w:rsid w:val="00044B16"/>
    <w:rsid w:val="00046A81"/>
    <w:rsid w:val="00051160"/>
    <w:rsid w:val="000605DB"/>
    <w:rsid w:val="0006260F"/>
    <w:rsid w:val="00063774"/>
    <w:rsid w:val="000676D4"/>
    <w:rsid w:val="00067C38"/>
    <w:rsid w:val="0007480A"/>
    <w:rsid w:val="00075841"/>
    <w:rsid w:val="00080B22"/>
    <w:rsid w:val="00090297"/>
    <w:rsid w:val="000A0056"/>
    <w:rsid w:val="000A74B8"/>
    <w:rsid w:val="000C486F"/>
    <w:rsid w:val="000D238C"/>
    <w:rsid w:val="000D61FA"/>
    <w:rsid w:val="000D6B20"/>
    <w:rsid w:val="000D6E3B"/>
    <w:rsid w:val="000E01C8"/>
    <w:rsid w:val="000E1A44"/>
    <w:rsid w:val="000E3692"/>
    <w:rsid w:val="000E6462"/>
    <w:rsid w:val="000F17DC"/>
    <w:rsid w:val="00101C3F"/>
    <w:rsid w:val="00107A51"/>
    <w:rsid w:val="00107FF0"/>
    <w:rsid w:val="001252E4"/>
    <w:rsid w:val="001424CC"/>
    <w:rsid w:val="00145659"/>
    <w:rsid w:val="00146917"/>
    <w:rsid w:val="00154173"/>
    <w:rsid w:val="0015459E"/>
    <w:rsid w:val="00154BB6"/>
    <w:rsid w:val="00157FBB"/>
    <w:rsid w:val="00162642"/>
    <w:rsid w:val="00172956"/>
    <w:rsid w:val="001937A0"/>
    <w:rsid w:val="00195121"/>
    <w:rsid w:val="001A03CF"/>
    <w:rsid w:val="001A6FB0"/>
    <w:rsid w:val="001C0809"/>
    <w:rsid w:val="001C3B6E"/>
    <w:rsid w:val="001C444D"/>
    <w:rsid w:val="001C5FA3"/>
    <w:rsid w:val="001C7C6C"/>
    <w:rsid w:val="001D00FD"/>
    <w:rsid w:val="001D7058"/>
    <w:rsid w:val="001E7B3F"/>
    <w:rsid w:val="001F5330"/>
    <w:rsid w:val="00206D56"/>
    <w:rsid w:val="00215D97"/>
    <w:rsid w:val="002207B8"/>
    <w:rsid w:val="002258F3"/>
    <w:rsid w:val="0023761F"/>
    <w:rsid w:val="00244183"/>
    <w:rsid w:val="00246989"/>
    <w:rsid w:val="002510F6"/>
    <w:rsid w:val="00253085"/>
    <w:rsid w:val="00254B05"/>
    <w:rsid w:val="0026012D"/>
    <w:rsid w:val="00260693"/>
    <w:rsid w:val="002624C5"/>
    <w:rsid w:val="00262E49"/>
    <w:rsid w:val="0027242D"/>
    <w:rsid w:val="002803FE"/>
    <w:rsid w:val="00285685"/>
    <w:rsid w:val="00293B10"/>
    <w:rsid w:val="002A18E8"/>
    <w:rsid w:val="002A2A9F"/>
    <w:rsid w:val="002A435C"/>
    <w:rsid w:val="002A57ED"/>
    <w:rsid w:val="002B5735"/>
    <w:rsid w:val="002C0E8A"/>
    <w:rsid w:val="002C1EF8"/>
    <w:rsid w:val="002C2413"/>
    <w:rsid w:val="002C298C"/>
    <w:rsid w:val="002C338A"/>
    <w:rsid w:val="002C6512"/>
    <w:rsid w:val="002C6A20"/>
    <w:rsid w:val="002C789E"/>
    <w:rsid w:val="002D3D97"/>
    <w:rsid w:val="002E4561"/>
    <w:rsid w:val="002E58F5"/>
    <w:rsid w:val="002F3188"/>
    <w:rsid w:val="0031234D"/>
    <w:rsid w:val="00315170"/>
    <w:rsid w:val="00315F97"/>
    <w:rsid w:val="00316EDC"/>
    <w:rsid w:val="003230FE"/>
    <w:rsid w:val="003242EA"/>
    <w:rsid w:val="00331BEC"/>
    <w:rsid w:val="00332561"/>
    <w:rsid w:val="0033478C"/>
    <w:rsid w:val="00335235"/>
    <w:rsid w:val="00336512"/>
    <w:rsid w:val="0034755A"/>
    <w:rsid w:val="003506FA"/>
    <w:rsid w:val="00353F25"/>
    <w:rsid w:val="00354955"/>
    <w:rsid w:val="0037093D"/>
    <w:rsid w:val="00374C0D"/>
    <w:rsid w:val="003817A9"/>
    <w:rsid w:val="003851E1"/>
    <w:rsid w:val="0038793B"/>
    <w:rsid w:val="003879B1"/>
    <w:rsid w:val="003B6C4C"/>
    <w:rsid w:val="003C3446"/>
    <w:rsid w:val="003C36FF"/>
    <w:rsid w:val="003C7841"/>
    <w:rsid w:val="003D2A41"/>
    <w:rsid w:val="003D326A"/>
    <w:rsid w:val="003E33D0"/>
    <w:rsid w:val="003E3B8C"/>
    <w:rsid w:val="003E44AE"/>
    <w:rsid w:val="003E6646"/>
    <w:rsid w:val="003F485D"/>
    <w:rsid w:val="00402BBE"/>
    <w:rsid w:val="004051E7"/>
    <w:rsid w:val="0041277A"/>
    <w:rsid w:val="00414006"/>
    <w:rsid w:val="0041733E"/>
    <w:rsid w:val="004216CE"/>
    <w:rsid w:val="00431B48"/>
    <w:rsid w:val="004347DD"/>
    <w:rsid w:val="00434F63"/>
    <w:rsid w:val="00435A28"/>
    <w:rsid w:val="00441DE1"/>
    <w:rsid w:val="00443C58"/>
    <w:rsid w:val="00460A16"/>
    <w:rsid w:val="00460AB6"/>
    <w:rsid w:val="004619D0"/>
    <w:rsid w:val="004642A1"/>
    <w:rsid w:val="00464DBE"/>
    <w:rsid w:val="00466676"/>
    <w:rsid w:val="00466760"/>
    <w:rsid w:val="004713B7"/>
    <w:rsid w:val="0047266C"/>
    <w:rsid w:val="004745E1"/>
    <w:rsid w:val="00475F1D"/>
    <w:rsid w:val="004868D2"/>
    <w:rsid w:val="00490C27"/>
    <w:rsid w:val="00491E8A"/>
    <w:rsid w:val="004922BC"/>
    <w:rsid w:val="004930A3"/>
    <w:rsid w:val="00494064"/>
    <w:rsid w:val="00495DA9"/>
    <w:rsid w:val="00495E69"/>
    <w:rsid w:val="00496D10"/>
    <w:rsid w:val="004A2623"/>
    <w:rsid w:val="004B5262"/>
    <w:rsid w:val="004B5F7B"/>
    <w:rsid w:val="004C0141"/>
    <w:rsid w:val="004C498D"/>
    <w:rsid w:val="004C5C71"/>
    <w:rsid w:val="004D0452"/>
    <w:rsid w:val="004E449C"/>
    <w:rsid w:val="00504F15"/>
    <w:rsid w:val="0051104F"/>
    <w:rsid w:val="005110AB"/>
    <w:rsid w:val="00513D7E"/>
    <w:rsid w:val="00515079"/>
    <w:rsid w:val="00516C2A"/>
    <w:rsid w:val="00524A6C"/>
    <w:rsid w:val="00524F8E"/>
    <w:rsid w:val="005258B9"/>
    <w:rsid w:val="005305D4"/>
    <w:rsid w:val="005306BE"/>
    <w:rsid w:val="00531874"/>
    <w:rsid w:val="0053271F"/>
    <w:rsid w:val="005331DC"/>
    <w:rsid w:val="005415EF"/>
    <w:rsid w:val="005455D9"/>
    <w:rsid w:val="00546DEB"/>
    <w:rsid w:val="0055219E"/>
    <w:rsid w:val="005662CB"/>
    <w:rsid w:val="00566827"/>
    <w:rsid w:val="005675EF"/>
    <w:rsid w:val="00571CAC"/>
    <w:rsid w:val="005729EF"/>
    <w:rsid w:val="005775E2"/>
    <w:rsid w:val="00577922"/>
    <w:rsid w:val="0058226C"/>
    <w:rsid w:val="00597EA3"/>
    <w:rsid w:val="005A14D0"/>
    <w:rsid w:val="005A1E3C"/>
    <w:rsid w:val="005A2B1C"/>
    <w:rsid w:val="005B073B"/>
    <w:rsid w:val="005B35EA"/>
    <w:rsid w:val="005C6886"/>
    <w:rsid w:val="005D4EF8"/>
    <w:rsid w:val="005E55EF"/>
    <w:rsid w:val="005F2AF4"/>
    <w:rsid w:val="005F50A0"/>
    <w:rsid w:val="005F6442"/>
    <w:rsid w:val="005F6958"/>
    <w:rsid w:val="005F7D1F"/>
    <w:rsid w:val="00604618"/>
    <w:rsid w:val="00622FF5"/>
    <w:rsid w:val="00623B00"/>
    <w:rsid w:val="00624611"/>
    <w:rsid w:val="00624F9B"/>
    <w:rsid w:val="00625AB0"/>
    <w:rsid w:val="00626565"/>
    <w:rsid w:val="00626E61"/>
    <w:rsid w:val="0063339C"/>
    <w:rsid w:val="00634277"/>
    <w:rsid w:val="006371C0"/>
    <w:rsid w:val="00643B6D"/>
    <w:rsid w:val="0065306D"/>
    <w:rsid w:val="00666745"/>
    <w:rsid w:val="00680045"/>
    <w:rsid w:val="0068693E"/>
    <w:rsid w:val="006877E2"/>
    <w:rsid w:val="00691DF9"/>
    <w:rsid w:val="00695777"/>
    <w:rsid w:val="006A6FB1"/>
    <w:rsid w:val="006B0D6B"/>
    <w:rsid w:val="006C1BA4"/>
    <w:rsid w:val="006C3584"/>
    <w:rsid w:val="006C55A6"/>
    <w:rsid w:val="006C5C68"/>
    <w:rsid w:val="006D3CBD"/>
    <w:rsid w:val="006E3EA2"/>
    <w:rsid w:val="006F3DA6"/>
    <w:rsid w:val="006F5905"/>
    <w:rsid w:val="00700A8D"/>
    <w:rsid w:val="00713E14"/>
    <w:rsid w:val="007170E4"/>
    <w:rsid w:val="00720698"/>
    <w:rsid w:val="007219DD"/>
    <w:rsid w:val="00732F57"/>
    <w:rsid w:val="00734D9A"/>
    <w:rsid w:val="00735FA9"/>
    <w:rsid w:val="00743402"/>
    <w:rsid w:val="00745D2F"/>
    <w:rsid w:val="00753B8B"/>
    <w:rsid w:val="007629D1"/>
    <w:rsid w:val="00765E17"/>
    <w:rsid w:val="00782AE9"/>
    <w:rsid w:val="00784213"/>
    <w:rsid w:val="0078442E"/>
    <w:rsid w:val="00787FC2"/>
    <w:rsid w:val="007913F0"/>
    <w:rsid w:val="00796194"/>
    <w:rsid w:val="007A6811"/>
    <w:rsid w:val="007B1011"/>
    <w:rsid w:val="007B12B8"/>
    <w:rsid w:val="007B1634"/>
    <w:rsid w:val="007B1BBC"/>
    <w:rsid w:val="007B482C"/>
    <w:rsid w:val="007C3347"/>
    <w:rsid w:val="007C69DA"/>
    <w:rsid w:val="007D1887"/>
    <w:rsid w:val="007E412D"/>
    <w:rsid w:val="007F258D"/>
    <w:rsid w:val="007F3B73"/>
    <w:rsid w:val="008044DB"/>
    <w:rsid w:val="008076EF"/>
    <w:rsid w:val="00811BD2"/>
    <w:rsid w:val="00813C0A"/>
    <w:rsid w:val="00816F00"/>
    <w:rsid w:val="00831762"/>
    <w:rsid w:val="00834329"/>
    <w:rsid w:val="00835AB7"/>
    <w:rsid w:val="00837E37"/>
    <w:rsid w:val="00842291"/>
    <w:rsid w:val="00844776"/>
    <w:rsid w:val="0084668D"/>
    <w:rsid w:val="00846741"/>
    <w:rsid w:val="00847D18"/>
    <w:rsid w:val="00852E90"/>
    <w:rsid w:val="008537F4"/>
    <w:rsid w:val="00854287"/>
    <w:rsid w:val="00856C12"/>
    <w:rsid w:val="00860629"/>
    <w:rsid w:val="00860B2F"/>
    <w:rsid w:val="0087345F"/>
    <w:rsid w:val="008858D8"/>
    <w:rsid w:val="0089445D"/>
    <w:rsid w:val="00894526"/>
    <w:rsid w:val="0089785E"/>
    <w:rsid w:val="008A1A4B"/>
    <w:rsid w:val="008A2781"/>
    <w:rsid w:val="008A5B25"/>
    <w:rsid w:val="008A7A7D"/>
    <w:rsid w:val="008B17C9"/>
    <w:rsid w:val="008B2256"/>
    <w:rsid w:val="008D214B"/>
    <w:rsid w:val="008D225D"/>
    <w:rsid w:val="008D5A89"/>
    <w:rsid w:val="008E1B83"/>
    <w:rsid w:val="008E340C"/>
    <w:rsid w:val="008E3FAF"/>
    <w:rsid w:val="008E6C8C"/>
    <w:rsid w:val="008F102A"/>
    <w:rsid w:val="00901E87"/>
    <w:rsid w:val="00910E03"/>
    <w:rsid w:val="00920FCE"/>
    <w:rsid w:val="009259CD"/>
    <w:rsid w:val="00925D71"/>
    <w:rsid w:val="009307C8"/>
    <w:rsid w:val="009323C9"/>
    <w:rsid w:val="00937813"/>
    <w:rsid w:val="00937843"/>
    <w:rsid w:val="00937D46"/>
    <w:rsid w:val="00942A78"/>
    <w:rsid w:val="00943802"/>
    <w:rsid w:val="0094498C"/>
    <w:rsid w:val="00953505"/>
    <w:rsid w:val="0095545B"/>
    <w:rsid w:val="00963A11"/>
    <w:rsid w:val="009744DD"/>
    <w:rsid w:val="00975978"/>
    <w:rsid w:val="00980C8D"/>
    <w:rsid w:val="009819B8"/>
    <w:rsid w:val="00986A7D"/>
    <w:rsid w:val="00993F0F"/>
    <w:rsid w:val="0099415D"/>
    <w:rsid w:val="00994E01"/>
    <w:rsid w:val="009A2D25"/>
    <w:rsid w:val="009A6744"/>
    <w:rsid w:val="009B2CFC"/>
    <w:rsid w:val="009B64EE"/>
    <w:rsid w:val="009C0B7F"/>
    <w:rsid w:val="009D14E4"/>
    <w:rsid w:val="009D637D"/>
    <w:rsid w:val="009E560E"/>
    <w:rsid w:val="009E6036"/>
    <w:rsid w:val="009E6850"/>
    <w:rsid w:val="009F0168"/>
    <w:rsid w:val="00A032E7"/>
    <w:rsid w:val="00A10C2B"/>
    <w:rsid w:val="00A128BD"/>
    <w:rsid w:val="00A321F2"/>
    <w:rsid w:val="00A40BEC"/>
    <w:rsid w:val="00A418E6"/>
    <w:rsid w:val="00A41E94"/>
    <w:rsid w:val="00A471A8"/>
    <w:rsid w:val="00A530D8"/>
    <w:rsid w:val="00A53406"/>
    <w:rsid w:val="00A53B93"/>
    <w:rsid w:val="00A60F39"/>
    <w:rsid w:val="00A63CBB"/>
    <w:rsid w:val="00A66236"/>
    <w:rsid w:val="00A667C5"/>
    <w:rsid w:val="00A73F0A"/>
    <w:rsid w:val="00A762AA"/>
    <w:rsid w:val="00A76B09"/>
    <w:rsid w:val="00A77A41"/>
    <w:rsid w:val="00A82953"/>
    <w:rsid w:val="00A96666"/>
    <w:rsid w:val="00A97754"/>
    <w:rsid w:val="00AA5C05"/>
    <w:rsid w:val="00AA5F2D"/>
    <w:rsid w:val="00AB48B0"/>
    <w:rsid w:val="00AB7196"/>
    <w:rsid w:val="00AC0D3E"/>
    <w:rsid w:val="00AC6A5F"/>
    <w:rsid w:val="00AD38DA"/>
    <w:rsid w:val="00AD3C39"/>
    <w:rsid w:val="00AD788A"/>
    <w:rsid w:val="00AE2D9B"/>
    <w:rsid w:val="00AE5E4F"/>
    <w:rsid w:val="00AF6D87"/>
    <w:rsid w:val="00AF6E1E"/>
    <w:rsid w:val="00B05A9D"/>
    <w:rsid w:val="00B127E4"/>
    <w:rsid w:val="00B12994"/>
    <w:rsid w:val="00B240AA"/>
    <w:rsid w:val="00B27DFC"/>
    <w:rsid w:val="00B362C4"/>
    <w:rsid w:val="00B432E3"/>
    <w:rsid w:val="00B5638C"/>
    <w:rsid w:val="00B571AB"/>
    <w:rsid w:val="00B6566C"/>
    <w:rsid w:val="00B663E7"/>
    <w:rsid w:val="00B70B4A"/>
    <w:rsid w:val="00B718C3"/>
    <w:rsid w:val="00B734B6"/>
    <w:rsid w:val="00B806ED"/>
    <w:rsid w:val="00B8688A"/>
    <w:rsid w:val="00B87154"/>
    <w:rsid w:val="00B92953"/>
    <w:rsid w:val="00BA08FA"/>
    <w:rsid w:val="00BC28A3"/>
    <w:rsid w:val="00BD03AD"/>
    <w:rsid w:val="00BD067D"/>
    <w:rsid w:val="00BD46DD"/>
    <w:rsid w:val="00BD4B86"/>
    <w:rsid w:val="00BE3775"/>
    <w:rsid w:val="00BE384F"/>
    <w:rsid w:val="00BE4DF9"/>
    <w:rsid w:val="00BE778F"/>
    <w:rsid w:val="00BE7A3F"/>
    <w:rsid w:val="00BF06A6"/>
    <w:rsid w:val="00BF121C"/>
    <w:rsid w:val="00BF3840"/>
    <w:rsid w:val="00BF544F"/>
    <w:rsid w:val="00C05BE5"/>
    <w:rsid w:val="00C112A1"/>
    <w:rsid w:val="00C135EF"/>
    <w:rsid w:val="00C146CA"/>
    <w:rsid w:val="00C15FBD"/>
    <w:rsid w:val="00C22D81"/>
    <w:rsid w:val="00C36D1A"/>
    <w:rsid w:val="00C37FE1"/>
    <w:rsid w:val="00C42FA0"/>
    <w:rsid w:val="00C45207"/>
    <w:rsid w:val="00C51187"/>
    <w:rsid w:val="00C60B86"/>
    <w:rsid w:val="00C61394"/>
    <w:rsid w:val="00C6789C"/>
    <w:rsid w:val="00C71A8C"/>
    <w:rsid w:val="00C7513C"/>
    <w:rsid w:val="00C75687"/>
    <w:rsid w:val="00C75C5F"/>
    <w:rsid w:val="00C81A4F"/>
    <w:rsid w:val="00C83CD8"/>
    <w:rsid w:val="00C84363"/>
    <w:rsid w:val="00C94FA5"/>
    <w:rsid w:val="00CA441C"/>
    <w:rsid w:val="00CA7E6E"/>
    <w:rsid w:val="00CB0935"/>
    <w:rsid w:val="00CB32AD"/>
    <w:rsid w:val="00CB3F5F"/>
    <w:rsid w:val="00CB661E"/>
    <w:rsid w:val="00CC70DC"/>
    <w:rsid w:val="00CD1F4A"/>
    <w:rsid w:val="00CD5813"/>
    <w:rsid w:val="00CD6473"/>
    <w:rsid w:val="00CD7D85"/>
    <w:rsid w:val="00CE57C0"/>
    <w:rsid w:val="00CF19C9"/>
    <w:rsid w:val="00CF4D4E"/>
    <w:rsid w:val="00CF728C"/>
    <w:rsid w:val="00D135DA"/>
    <w:rsid w:val="00D15700"/>
    <w:rsid w:val="00D15EAF"/>
    <w:rsid w:val="00D30743"/>
    <w:rsid w:val="00D3630A"/>
    <w:rsid w:val="00D4720B"/>
    <w:rsid w:val="00D51593"/>
    <w:rsid w:val="00D57612"/>
    <w:rsid w:val="00D67638"/>
    <w:rsid w:val="00D73ACA"/>
    <w:rsid w:val="00D73D27"/>
    <w:rsid w:val="00D7438A"/>
    <w:rsid w:val="00D801C0"/>
    <w:rsid w:val="00D85126"/>
    <w:rsid w:val="00D85350"/>
    <w:rsid w:val="00D95F9E"/>
    <w:rsid w:val="00DA2505"/>
    <w:rsid w:val="00DB10A2"/>
    <w:rsid w:val="00DB2155"/>
    <w:rsid w:val="00DB344C"/>
    <w:rsid w:val="00DB78F0"/>
    <w:rsid w:val="00DC3B4E"/>
    <w:rsid w:val="00DD67F0"/>
    <w:rsid w:val="00DF1699"/>
    <w:rsid w:val="00DF2AEF"/>
    <w:rsid w:val="00DF4105"/>
    <w:rsid w:val="00DF4499"/>
    <w:rsid w:val="00DF4966"/>
    <w:rsid w:val="00DF6031"/>
    <w:rsid w:val="00E0109A"/>
    <w:rsid w:val="00E10934"/>
    <w:rsid w:val="00E10BF3"/>
    <w:rsid w:val="00E119A7"/>
    <w:rsid w:val="00E119C8"/>
    <w:rsid w:val="00E13D70"/>
    <w:rsid w:val="00E214C5"/>
    <w:rsid w:val="00E25B78"/>
    <w:rsid w:val="00E30AE7"/>
    <w:rsid w:val="00E34F2B"/>
    <w:rsid w:val="00E35269"/>
    <w:rsid w:val="00E37EF3"/>
    <w:rsid w:val="00E4235E"/>
    <w:rsid w:val="00E44174"/>
    <w:rsid w:val="00E45FF7"/>
    <w:rsid w:val="00E50379"/>
    <w:rsid w:val="00E508B0"/>
    <w:rsid w:val="00E5350C"/>
    <w:rsid w:val="00E60051"/>
    <w:rsid w:val="00E62EC4"/>
    <w:rsid w:val="00E65F2B"/>
    <w:rsid w:val="00E720C6"/>
    <w:rsid w:val="00E767DC"/>
    <w:rsid w:val="00E83463"/>
    <w:rsid w:val="00E867F0"/>
    <w:rsid w:val="00E9612E"/>
    <w:rsid w:val="00E963DE"/>
    <w:rsid w:val="00EA5412"/>
    <w:rsid w:val="00EB19F1"/>
    <w:rsid w:val="00EB34BB"/>
    <w:rsid w:val="00EB62FA"/>
    <w:rsid w:val="00EC3355"/>
    <w:rsid w:val="00ED1C5B"/>
    <w:rsid w:val="00ED230F"/>
    <w:rsid w:val="00ED3F5A"/>
    <w:rsid w:val="00ED56B0"/>
    <w:rsid w:val="00ED5FE6"/>
    <w:rsid w:val="00ED631D"/>
    <w:rsid w:val="00ED6E11"/>
    <w:rsid w:val="00EE3560"/>
    <w:rsid w:val="00EE58A3"/>
    <w:rsid w:val="00EE7328"/>
    <w:rsid w:val="00F23E1E"/>
    <w:rsid w:val="00F34026"/>
    <w:rsid w:val="00F432AC"/>
    <w:rsid w:val="00F43CE8"/>
    <w:rsid w:val="00F52341"/>
    <w:rsid w:val="00F62493"/>
    <w:rsid w:val="00F700DC"/>
    <w:rsid w:val="00F73AE3"/>
    <w:rsid w:val="00F82CEE"/>
    <w:rsid w:val="00F877C0"/>
    <w:rsid w:val="00F92C24"/>
    <w:rsid w:val="00F96A1C"/>
    <w:rsid w:val="00F96E86"/>
    <w:rsid w:val="00F97CB8"/>
    <w:rsid w:val="00FA043F"/>
    <w:rsid w:val="00FA0D04"/>
    <w:rsid w:val="00FC168F"/>
    <w:rsid w:val="00FC1783"/>
    <w:rsid w:val="00FC3355"/>
    <w:rsid w:val="00FC6EF3"/>
    <w:rsid w:val="00FE27FE"/>
    <w:rsid w:val="00FE3EB5"/>
    <w:rsid w:val="00FE58C3"/>
    <w:rsid w:val="00FE7DE0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B8BA"/>
  <w15:docId w15:val="{59351ED7-AA51-49B3-A068-F618029E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8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6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E57C0"/>
    <w:pPr>
      <w:ind w:left="720"/>
      <w:contextualSpacing/>
    </w:pPr>
  </w:style>
  <w:style w:type="table" w:styleId="TableGrid">
    <w:name w:val="Table Grid"/>
    <w:basedOn w:val="TableNormal"/>
    <w:uiPriority w:val="59"/>
    <w:rsid w:val="00CE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57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5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7C0"/>
  </w:style>
  <w:style w:type="paragraph" w:styleId="Footer">
    <w:name w:val="footer"/>
    <w:basedOn w:val="Normal"/>
    <w:link w:val="FooterChar"/>
    <w:uiPriority w:val="99"/>
    <w:unhideWhenUsed/>
    <w:rsid w:val="00AD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8DA"/>
  </w:style>
  <w:style w:type="character" w:styleId="CommentReference">
    <w:name w:val="annotation reference"/>
    <w:basedOn w:val="DefaultParagraphFont"/>
    <w:uiPriority w:val="99"/>
    <w:semiHidden/>
    <w:unhideWhenUsed/>
    <w:rsid w:val="002C2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4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438A"/>
    <w:rPr>
      <w:color w:val="0563C1" w:themeColor="hyperlink"/>
      <w:u w:val="single"/>
    </w:rPr>
  </w:style>
  <w:style w:type="paragraph" w:customStyle="1" w:styleId="Pa14">
    <w:name w:val="Pa14"/>
    <w:basedOn w:val="Normal"/>
    <w:next w:val="Normal"/>
    <w:uiPriority w:val="99"/>
    <w:rsid w:val="00D7438A"/>
    <w:pPr>
      <w:autoSpaceDE w:val="0"/>
      <w:autoSpaceDN w:val="0"/>
      <w:adjustRightInd w:val="0"/>
      <w:spacing w:after="0" w:line="201" w:lineRule="atLeast"/>
    </w:pPr>
    <w:rPr>
      <w:rFonts w:ascii="Frutiger 45 Light" w:hAnsi="Frutiger 45 Ligh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3E44AE"/>
    <w:pPr>
      <w:autoSpaceDE w:val="0"/>
      <w:autoSpaceDN w:val="0"/>
      <w:adjustRightInd w:val="0"/>
      <w:spacing w:after="0" w:line="201" w:lineRule="atLeast"/>
    </w:pPr>
    <w:rPr>
      <w:rFonts w:ascii="Frutiger 45 Light" w:hAnsi="Frutiger 45 Light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3E44AE"/>
    <w:pPr>
      <w:autoSpaceDE w:val="0"/>
      <w:autoSpaceDN w:val="0"/>
      <w:adjustRightInd w:val="0"/>
      <w:spacing w:after="0" w:line="201" w:lineRule="atLeast"/>
    </w:pPr>
    <w:rPr>
      <w:rFonts w:ascii="Frutiger 45 Light" w:hAnsi="Frutiger 45 Light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623"/>
    <w:rPr>
      <w:color w:val="808080"/>
      <w:shd w:val="clear" w:color="auto" w:fill="E6E6E6"/>
    </w:rPr>
  </w:style>
  <w:style w:type="paragraph" w:customStyle="1" w:styleId="CM23">
    <w:name w:val="CM23"/>
    <w:basedOn w:val="Normal"/>
    <w:next w:val="Normal"/>
    <w:rsid w:val="00A73F0A"/>
    <w:pPr>
      <w:widowControl w:val="0"/>
      <w:autoSpaceDE w:val="0"/>
      <w:autoSpaceDN w:val="0"/>
      <w:adjustRightInd w:val="0"/>
      <w:spacing w:after="95" w:line="240" w:lineRule="auto"/>
    </w:pPr>
    <w:rPr>
      <w:rFonts w:ascii="Frutiger" w:eastAsia="SimSun" w:hAnsi="Frutiger" w:cs="Times New Roman"/>
      <w:sz w:val="24"/>
      <w:szCs w:val="24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2E4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5A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06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ato.gov.au/calculators-and-tools/report-unpaid-super-contributions-from-my-employer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etax.com.au/unpaid-sup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dnet.com/article/optus-repaying-underpaid-super-for-thousands-of-present-and-past-worker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ancialbasics.org.au/wp-content/uploads/2024/07/super-decis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bs.com.au/news/the-feed/here-s-a-running-list-of-australian-businesses-that-have-underpaid-staff-in-2019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uperguru.com.au/retiring/how-much-super-will-i-nee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5643929AD44791F3F331958D8263" ma:contentTypeVersion="18" ma:contentTypeDescription="Create a new document." ma:contentTypeScope="" ma:versionID="a016fdb937b95c854f6705fa0c529184">
  <xsd:schema xmlns:xsd="http://www.w3.org/2001/XMLSchema" xmlns:xs="http://www.w3.org/2001/XMLSchema" xmlns:p="http://schemas.microsoft.com/office/2006/metadata/properties" xmlns:ns2="dfc1cb15-abd0-4160-8fcc-21bfdeb6ec40" xmlns:ns3="6ce922d2-2eb9-43bd-b47f-ab8d5a760751" targetNamespace="http://schemas.microsoft.com/office/2006/metadata/properties" ma:root="true" ma:fieldsID="601c0facda1813b47e253bc63bf5917c" ns2:_="" ns3:_="">
    <xsd:import namespace="dfc1cb15-abd0-4160-8fcc-21bfdeb6ec40"/>
    <xsd:import namespace="6ce922d2-2eb9-43bd-b47f-ab8d5a76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cb15-abd0-4160-8fcc-21bfdeb6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96959-954f-4f3b-96ed-be0797ab4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22d2-2eb9-43bd-b47f-ab8d5a760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16012-e428-400c-a27d-a7d5a55db16e}" ma:internalName="TaxCatchAll" ma:showField="CatchAllData" ma:web="6ce922d2-2eb9-43bd-b47f-ab8d5a760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922d2-2eb9-43bd-b47f-ab8d5a760751" xsi:nil="true"/>
    <lcf76f155ced4ddcb4097134ff3c332f xmlns="dfc1cb15-abd0-4160-8fcc-21bfdeb6ec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FC756-BE1F-4858-B823-BADA85055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1cb15-abd0-4160-8fcc-21bfdeb6ec40"/>
    <ds:schemaRef ds:uri="6ce922d2-2eb9-43bd-b47f-ab8d5a76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0B029-B79E-4687-BF97-147F344D0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419A9F-6D88-4B6B-8254-21CC62B2DC12}">
  <ds:schemaRefs>
    <ds:schemaRef ds:uri="http://schemas.microsoft.com/office/2006/metadata/properties"/>
    <ds:schemaRef ds:uri="http://schemas.microsoft.com/office/infopath/2007/PartnerControls"/>
    <ds:schemaRef ds:uri="6ce922d2-2eb9-43bd-b47f-ab8d5a760751"/>
    <ds:schemaRef ds:uri="dfc1cb15-abd0-4160-8fcc-21bfdeb6ec40"/>
  </ds:schemaRefs>
</ds:datastoreItem>
</file>

<file path=customXml/itemProps4.xml><?xml version="1.0" encoding="utf-8"?>
<ds:datastoreItem xmlns:ds="http://schemas.openxmlformats.org/officeDocument/2006/customXml" ds:itemID="{B9BBCA55-7B4C-42E5-B1D7-07D74A8E5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NICHOLSON</dc:creator>
  <cp:lastModifiedBy>Damian Nicholson</cp:lastModifiedBy>
  <cp:revision>249</cp:revision>
  <cp:lastPrinted>2020-09-17T05:48:00Z</cp:lastPrinted>
  <dcterms:created xsi:type="dcterms:W3CDTF">2020-03-24T06:43:00Z</dcterms:created>
  <dcterms:modified xsi:type="dcterms:W3CDTF">2024-10-21T01:06:00Z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0x01010063055643929AD44791F3F331958D8263</vt:lpwstr>
  </property>
  <property fmtid="{D5CDD505-2E9C-101B-9397-08002B2CF9AE}" pid="3" name="MediaServiceImageTags">
    <vt:lpwstr/>
  </property>
</Properties>
</file>